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30j0zll" w:id="0"/>
    <w:bookmarkEnd w:id="0"/>
    <w:bookmarkStart w:colFirst="0" w:colLast="0" w:name="bookmark=id.1fob9te" w:id="1"/>
    <w:bookmarkEnd w:id="1"/>
    <w:bookmarkStart w:colFirst="0" w:colLast="0" w:name="bookmark=id.gjdgxs" w:id="2"/>
    <w:bookmarkEnd w:id="2"/>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Pr>
        <w:drawing>
          <wp:inline distB="0" distT="0" distL="0" distR="0">
            <wp:extent cx="5715000" cy="84772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15000" cy="847725"/>
                    </a:xfrm>
                    <a:prstGeom prst="rect"/>
                    <a:ln/>
                  </pic:spPr>
                </pic:pic>
              </a:graphicData>
            </a:graphic>
          </wp:inline>
        </w:drawing>
      </w:r>
      <w:bookmarkStart w:colFirst="0" w:colLast="0" w:name="bookmark=id.2et92p0" w:id="3"/>
      <w:bookmarkEnd w:id="3"/>
      <w:bookmarkStart w:colFirst="0" w:colLast="0" w:name="bookmark=id.3znysh7" w:id="4"/>
      <w:bookmarkEnd w:id="4"/>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Liberation Serif" w:cs="Liberation Serif" w:eastAsia="Liberation Serif" w:hAnsi="Liberation Serif"/>
          <w:b w:val="0"/>
          <w:i w:val="0"/>
          <w:smallCaps w:val="0"/>
          <w:strike w:val="0"/>
          <w:color w:val="000000"/>
          <w:sz w:val="24"/>
          <w:szCs w:val="24"/>
          <w:highlight w:val="yellow"/>
          <w:u w:val="none"/>
          <w:vertAlign w:val="baseline"/>
        </w:rPr>
      </w:pPr>
      <w:r w:rsidDel="00000000" w:rsidR="00000000" w:rsidRPr="00000000">
        <w:rPr>
          <w:rtl w:val="0"/>
        </w:rPr>
      </w:r>
    </w:p>
    <w:bookmarkStart w:colFirst="0" w:colLast="0" w:name="bookmark=id.3dy6vkm" w:id="5"/>
    <w:bookmarkEnd w:id="5"/>
    <w:bookmarkStart w:colFirst="0" w:colLast="0" w:name="bookmark=id.4d34og8" w:id="6"/>
    <w:bookmarkEnd w:id="6"/>
    <w:bookmarkStart w:colFirst="0" w:colLast="0" w:name="bookmark=id.1t3h5sf" w:id="7"/>
    <w:bookmarkEnd w:id="7"/>
    <w:p w:rsidR="00000000" w:rsidDel="00000000" w:rsidP="00000000" w:rsidRDefault="00000000" w:rsidRPr="00000000" w14:paraId="00000006">
      <w:pPr>
        <w:pStyle w:val="Heading3"/>
        <w:spacing w:after="0" w:before="0" w:lineRule="auto"/>
        <w:ind w:left="0" w:right="0" w:firstLine="0"/>
        <w:jc w:val="center"/>
        <w:rPr>
          <w:highlight w:val="white"/>
        </w:rPr>
      </w:pPr>
      <w:r w:rsidDel="00000000" w:rsidR="00000000" w:rsidRPr="00000000">
        <w:rPr>
          <w:highlight w:val="white"/>
          <w:rtl w:val="0"/>
        </w:rPr>
        <w:t xml:space="preserve">Istituto Comprensivo "E. Solvay/D. Alighieri"</w:t>
      </w:r>
    </w:p>
    <w:bookmarkStart w:colFirst="0" w:colLast="0" w:name="bookmark=id.2s8eyo1" w:id="8"/>
    <w:bookmarkEnd w:id="8"/>
    <w:p w:rsidR="00000000" w:rsidDel="00000000" w:rsidP="00000000" w:rsidRDefault="00000000" w:rsidRPr="00000000" w14:paraId="00000007">
      <w:pPr>
        <w:pStyle w:val="Heading3"/>
        <w:spacing w:after="0" w:before="0" w:lineRule="auto"/>
        <w:jc w:val="center"/>
        <w:rPr>
          <w:highlight w:val="white"/>
        </w:rPr>
      </w:pPr>
      <w:r w:rsidDel="00000000" w:rsidR="00000000" w:rsidRPr="00000000">
        <w:rPr>
          <w:sz w:val="27"/>
          <w:szCs w:val="27"/>
          <w:highlight w:val="white"/>
          <w:rtl w:val="0"/>
        </w:rPr>
        <w:t xml:space="preserve">Via Ernesto Solvay, 31, </w:t>
      </w:r>
      <w:bookmarkStart w:colFirst="0" w:colLast="0" w:name="bookmark=id.17dp8vu" w:id="9"/>
      <w:bookmarkEnd w:id="9"/>
      <w:r w:rsidDel="00000000" w:rsidR="00000000" w:rsidRPr="00000000">
        <w:rPr>
          <w:sz w:val="27"/>
          <w:szCs w:val="27"/>
          <w:highlight w:val="white"/>
          <w:rtl w:val="0"/>
        </w:rPr>
        <w:t xml:space="preserve">57016 </w:t>
      </w:r>
      <w:bookmarkStart w:colFirst="0" w:colLast="0" w:name="bookmark=id.3rdcrjn" w:id="10"/>
      <w:bookmarkEnd w:id="10"/>
      <w:r w:rsidDel="00000000" w:rsidR="00000000" w:rsidRPr="00000000">
        <w:rPr>
          <w:sz w:val="27"/>
          <w:szCs w:val="27"/>
          <w:highlight w:val="white"/>
          <w:rtl w:val="0"/>
        </w:rPr>
        <w:t xml:space="preserve">Rosignano Marittimo (</w:t>
      </w:r>
      <w:bookmarkStart w:colFirst="0" w:colLast="0" w:name="bookmark=id.26in1rg" w:id="11"/>
      <w:bookmarkEnd w:id="11"/>
      <w:r w:rsidDel="00000000" w:rsidR="00000000" w:rsidRPr="00000000">
        <w:rPr>
          <w:sz w:val="27"/>
          <w:szCs w:val="27"/>
          <w:highlight w:val="white"/>
          <w:rtl w:val="0"/>
        </w:rPr>
        <w:t xml:space="preserve">LI) - Tel.: </w:t>
      </w:r>
      <w:bookmarkStart w:colFirst="0" w:colLast="0" w:name="bookmark=id.lnxbz9" w:id="12"/>
      <w:bookmarkEnd w:id="12"/>
      <w:r w:rsidDel="00000000" w:rsidR="00000000" w:rsidRPr="00000000">
        <w:rPr>
          <w:sz w:val="27"/>
          <w:szCs w:val="27"/>
          <w:highlight w:val="white"/>
          <w:rtl w:val="0"/>
        </w:rPr>
        <w:t xml:space="preserve">0586764609</w:t>
      </w:r>
      <w:r w:rsidDel="00000000" w:rsidR="00000000" w:rsidRPr="00000000">
        <w:rPr>
          <w:highlight w:val="white"/>
          <w:rtl w:val="0"/>
        </w:rPr>
        <w:br w:type="textWrapping"/>
      </w:r>
      <w:r w:rsidDel="00000000" w:rsidR="00000000" w:rsidRPr="00000000">
        <w:rPr>
          <w:sz w:val="27"/>
          <w:szCs w:val="27"/>
          <w:highlight w:val="white"/>
          <w:rtl w:val="0"/>
        </w:rPr>
        <w:t xml:space="preserve">E-mail: </w:t>
      </w:r>
      <w:bookmarkStart w:colFirst="0" w:colLast="0" w:name="bookmark=id.35nkun2" w:id="13"/>
      <w:bookmarkEnd w:id="13"/>
      <w:r w:rsidDel="00000000" w:rsidR="00000000" w:rsidRPr="00000000">
        <w:rPr>
          <w:sz w:val="27"/>
          <w:szCs w:val="27"/>
          <w:highlight w:val="white"/>
          <w:rtl w:val="0"/>
        </w:rPr>
        <w:t xml:space="preserve">LIIC818003@istruzione.it - Pec: </w:t>
      </w:r>
      <w:bookmarkStart w:colFirst="0" w:colLast="0" w:name="bookmark=id.1ksv4uv" w:id="14"/>
      <w:bookmarkEnd w:id="14"/>
      <w:r w:rsidDel="00000000" w:rsidR="00000000" w:rsidRPr="00000000">
        <w:rPr>
          <w:sz w:val="27"/>
          <w:szCs w:val="27"/>
          <w:highlight w:val="white"/>
          <w:rtl w:val="0"/>
        </w:rPr>
        <w:t xml:space="preserve">LIIC818003@pec.istruzione.it</w:t>
        <w:br w:type="textWrapping"/>
        <w:t xml:space="preserve">C.F.: </w:t>
      </w:r>
      <w:bookmarkStart w:colFirst="0" w:colLast="0" w:name="bookmark=id.44sinio" w:id="15"/>
      <w:bookmarkEnd w:id="15"/>
      <w:r w:rsidDel="00000000" w:rsidR="00000000" w:rsidRPr="00000000">
        <w:rPr>
          <w:sz w:val="27"/>
          <w:szCs w:val="27"/>
          <w:highlight w:val="white"/>
          <w:rtl w:val="0"/>
        </w:rPr>
        <w:t xml:space="preserve">92137870496 - C.M.: </w:t>
      </w:r>
      <w:bookmarkStart w:colFirst="0" w:colLast="0" w:name="bookmark=id.2jxsxqh" w:id="16"/>
      <w:bookmarkEnd w:id="16"/>
      <w:r w:rsidDel="00000000" w:rsidR="00000000" w:rsidRPr="00000000">
        <w:rPr>
          <w:sz w:val="27"/>
          <w:szCs w:val="27"/>
          <w:highlight w:val="white"/>
          <w:rtl w:val="0"/>
        </w:rPr>
        <w:t xml:space="preserve">LIIC818003</w:t>
      </w:r>
      <w:r w:rsidDel="00000000" w:rsidR="00000000" w:rsidRPr="00000000">
        <w:rPr>
          <w:rtl w:val="0"/>
        </w:rPr>
      </w:r>
    </w:p>
    <w:bookmarkStart w:colFirst="0" w:colLast="0" w:name="bookmark=id.z337ya" w:id="17"/>
    <w:bookmarkEnd w:id="17"/>
    <w:bookmarkStart w:colFirst="0" w:colLast="0" w:name="bookmark=id.3j2qqm3" w:id="18"/>
    <w:bookmarkEnd w:id="18"/>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br w:type="textWrapping"/>
        <w:t xml:space="preserve">Protocollo come da segnatura </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1y810tw" w:id="19"/>
    <w:bookmarkEnd w:id="19"/>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Rosignano Marittimo, __ - __ - ____</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2xcytpi" w:id="20"/>
    <w:bookmarkEnd w:id="20"/>
    <w:bookmarkStart w:colFirst="0" w:colLast="0" w:name="bookmark=id.4i7ojhp" w:id="21"/>
    <w:bookmarkEnd w:id="21"/>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Oggetto: Decreto di avvio della Procedura di Selezione </w:t>
      </w:r>
      <w:bookmarkStart w:colFirst="0" w:colLast="0" w:name="bookmark=id.1ci93xb" w:id="22"/>
      <w:bookmarkEnd w:id="22"/>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interna, aperta anche a dipendenti di altra scuola, di altra P.A. e a lavoratori autonomi</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per il reclutamento di Docenti per la realizzazione di n. </w:t>
      </w:r>
      <w:bookmarkStart w:colFirst="0" w:colLast="0" w:name="bookmark=id.3whwml4" w:id="23"/>
      <w:bookmarkEnd w:id="23"/>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16</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w:t>
      </w:r>
      <w:bookmarkStart w:colFirst="0" w:colLast="0" w:name="bookmark=id.2bn6wsx" w:id="24"/>
      <w:bookmarkEnd w:id="24"/>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Percorsi di orientamento e formazione per il potenziamento delle competenze STEM, digitali e di innovazione, finalizzate alla promozione di pari opportunità di genere</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nell’ambito delle “Azioni di potenziamento delle competenze STEM e multilinguistiche - Linea di Intervento A”.</w:t>
      </w:r>
      <w:r w:rsidDel="00000000" w:rsidR="00000000" w:rsidRPr="00000000">
        <w:rPr>
          <w:rtl w:val="0"/>
        </w:rPr>
      </w:r>
    </w:p>
    <w:bookmarkStart w:colFirst="0" w:colLast="0" w:name="bookmark=id.qsh70q" w:id="25"/>
    <w:bookmarkEnd w:id="25"/>
    <w:bookmarkStart w:colFirst="0" w:colLast="0" w:name="bookmark=id.3as4poj" w:id="26"/>
    <w:bookmarkEnd w:id="26"/>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Avviso Pubblico </w:t>
      </w:r>
      <w:bookmarkStart w:colFirst="0" w:colLast="0" w:name="bookmark=id.1pxezwc" w:id="27"/>
      <w:bookmarkEnd w:id="27"/>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CUP: </w:t>
      </w:r>
      <w:bookmarkStart w:colFirst="0" w:colLast="0" w:name="bookmark=id.49x2ik5" w:id="28"/>
      <w:bookmarkEnd w:id="28"/>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G34D23006420006</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Titolo progetto: </w:t>
      </w:r>
      <w:bookmarkStart w:colFirst="0" w:colLast="0" w:name="bookmark=id.2p2csry" w:id="29"/>
      <w:bookmarkEnd w:id="2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PROGRAMMARE PER COMUNICARE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Codice progetto: </w:t>
      </w:r>
      <w:bookmarkStart w:colFirst="0" w:colLast="0" w:name="bookmark=id.147n2zr" w:id="30"/>
      <w:bookmarkEnd w:id="3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M4C1I3.1-2023-1143-P-40752</w:t>
      </w:r>
    </w:p>
    <w:bookmarkStart w:colFirst="0" w:colLast="0" w:name="bookmark=id.23ckvvd" w:id="31"/>
    <w:bookmarkEnd w:id="31"/>
    <w:bookmarkStart w:colFirst="0" w:colLast="0" w:name="bookmark=id.3o7alnk" w:id="32"/>
    <w:bookmarkEnd w:id="32"/>
    <w:p w:rsidR="00000000" w:rsidDel="00000000" w:rsidP="00000000" w:rsidRDefault="00000000" w:rsidRPr="00000000" w14:paraId="00000010">
      <w:pPr>
        <w:pStyle w:val="Heading3"/>
        <w:spacing w:after="0" w:before="0" w:lineRule="auto"/>
        <w:ind w:left="0" w:right="0" w:firstLine="0"/>
        <w:jc w:val="center"/>
        <w:rPr/>
      </w:pPr>
      <w:r w:rsidDel="00000000" w:rsidR="00000000" w:rsidRPr="00000000">
        <w:rPr>
          <w:highlight w:val="white"/>
          <w:rtl w:val="0"/>
        </w:rPr>
        <w:br w:type="textWrapping"/>
      </w:r>
      <w:r w:rsidDel="00000000" w:rsidR="00000000" w:rsidRPr="00000000">
        <w:rPr>
          <w:b w:val="1"/>
          <w:highlight w:val="white"/>
          <w:rtl w:val="0"/>
        </w:rPr>
        <w:t xml:space="preserve">IL DIRIGENTE SCOLASTICO</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ihv636" w:id="33"/>
    <w:bookmarkEnd w:id="33"/>
    <w:bookmarkStart w:colFirst="0" w:colLast="0" w:name="bookmark=id.32hioqz" w:id="34"/>
    <w:bookmarkEnd w:id="34"/>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R.D. 18 novembre 1923, n. 2440, concernente l’amministrazione del Patrimonio e la Contabilità Generale dello Stato ed il relativo regolamento approvato con R.D. 23 maggio 1924, n. 827 e ss.mm.ii.;</w:t>
      </w:r>
      <w:r w:rsidDel="00000000" w:rsidR="00000000" w:rsidRPr="00000000">
        <w:rPr>
          <w:rtl w:val="0"/>
        </w:rPr>
      </w:r>
    </w:p>
    <w:bookmarkStart w:colFirst="0" w:colLast="0" w:name="bookmark=id.1hmsyys" w:id="35"/>
    <w:bookmarkEnd w:id="35"/>
    <w:bookmarkStart w:colFirst="0" w:colLast="0" w:name="bookmark=id.41mghml" w:id="36"/>
    <w:bookmarkEnd w:id="36"/>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D.I. n. 129/2018 "Regolamento recante istruzioni generali sulla gestione amministrativo-contabile delle istituzioni scolastiche, ai sensi dell’articolo 1, comma 143, della Legge 13 luglio 2015, n. 107";</w:t>
      </w:r>
      <w:r w:rsidDel="00000000" w:rsidR="00000000" w:rsidRPr="00000000">
        <w:rPr>
          <w:rtl w:val="0"/>
        </w:rPr>
      </w:r>
    </w:p>
    <w:bookmarkStart w:colFirst="0" w:colLast="0" w:name="bookmark=id.vx1227" w:id="37"/>
    <w:bookmarkEnd w:id="37"/>
    <w:bookmarkStart w:colFirst="0" w:colLast="0" w:name="bookmark=id.2grqrue" w:id="38"/>
    <w:bookmarkEnd w:id="38"/>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Legislativo 30 marzo 2001, n. 165 recante “Norme generali sull’ordinamento del lavoro alle dipendenze delle Amministrazioni Pubbliche” e ss.mm.ii.;</w:t>
      </w:r>
      <w:r w:rsidDel="00000000" w:rsidR="00000000" w:rsidRPr="00000000">
        <w:rPr>
          <w:rtl w:val="0"/>
        </w:rPr>
      </w:r>
    </w:p>
    <w:bookmarkStart w:colFirst="0" w:colLast="0" w:name="bookmark=id.3fwokq0" w:id="39"/>
    <w:bookmarkEnd w:id="39"/>
    <w:bookmarkStart w:colFirst="0" w:colLast="0" w:name="bookmark=id.1v1yuxt" w:id="40"/>
    <w:bookmarkEnd w:id="40"/>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7 agosto 1990, n. 241 “Nuove norme in materia di procedimento amministrativo e di diritto di accesso ai documenti amministrativi” e ss.mm.ii.;</w:t>
      </w:r>
      <w:r w:rsidDel="00000000" w:rsidR="00000000" w:rsidRPr="00000000">
        <w:rPr>
          <w:rtl w:val="0"/>
        </w:rPr>
      </w:r>
    </w:p>
    <w:bookmarkStart w:colFirst="0" w:colLast="0" w:name="bookmark=id.2u6wntf" w:id="41"/>
    <w:bookmarkEnd w:id="41"/>
    <w:bookmarkStart w:colFirst="0" w:colLast="0" w:name="bookmark=id.4f1mdlm" w:id="42"/>
    <w:bookmarkEnd w:id="42"/>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15 marzo 1997 n. 59, concernente “Delega al Governo per il conferimento di funzioni e compiti alle regioni ed enti locali, per la riforma della Pubblica Amministrazione e per la semplificazione amministrativa";</w:t>
      </w:r>
      <w:r w:rsidDel="00000000" w:rsidR="00000000" w:rsidRPr="00000000">
        <w:rPr>
          <w:rtl w:val="0"/>
        </w:rPr>
      </w:r>
    </w:p>
    <w:bookmarkStart w:colFirst="0" w:colLast="0" w:name="bookmark=id.19c6y18" w:id="43"/>
    <w:bookmarkEnd w:id="43"/>
    <w:bookmarkStart w:colFirst="0" w:colLast="0" w:name="bookmark=id.3tbugp1" w:id="44"/>
    <w:bookmarkEnd w:id="44"/>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D.P.R. 8 marzo 1999, n. 275, concernente il Regolamento recante norme in materia di autonomia delle Istituzioni Scolastiche, ai sensi dell'art. 21 della Legge 15 marzo 1997, n. 59;</w:t>
      </w:r>
      <w:r w:rsidDel="00000000" w:rsidR="00000000" w:rsidRPr="00000000">
        <w:rPr>
          <w:rtl w:val="0"/>
        </w:rPr>
      </w:r>
    </w:p>
    <w:bookmarkStart w:colFirst="0" w:colLast="0" w:name="bookmark=id.28h4qwu" w:id="45"/>
    <w:bookmarkEnd w:id="45"/>
    <w:bookmarkStart w:colFirst="0" w:colLast="0" w:name="bookmark=id.nmf14n" w:id="46"/>
    <w:bookmarkEnd w:id="46"/>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Legge 13 luglio 2015 n. 107, concernente “Riforma del sistema nazionale di istruzione e formazione e delega per il riordino delle disposizioni legislative vigenti”;</w:t>
      </w:r>
      <w:r w:rsidDel="00000000" w:rsidR="00000000" w:rsidRPr="00000000">
        <w:rPr>
          <w:rtl w:val="0"/>
        </w:rPr>
      </w:r>
    </w:p>
    <w:bookmarkStart w:colFirst="0" w:colLast="0" w:name="bookmark=id.37m2jsg" w:id="47"/>
    <w:bookmarkEnd w:id="47"/>
    <w:bookmarkStart w:colFirst="0" w:colLast="0" w:name="bookmark=id.1mrcu09" w:id="48"/>
    <w:bookmarkEnd w:id="48"/>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Legislativo recante il Codice dei Contratti Pubblici n. 36 del 31/03/2023, approvato dal Consiglio dei Ministri nella seduta del 28/03/2023, attuativo dell’articolo 1 della legge 21 giugno 2022, n. 78;</w:t>
      </w:r>
      <w:r w:rsidDel="00000000" w:rsidR="00000000" w:rsidRPr="00000000">
        <w:rPr>
          <w:rtl w:val="0"/>
        </w:rPr>
      </w:r>
    </w:p>
    <w:bookmarkStart w:colFirst="0" w:colLast="0" w:name="bookmark=id.2lwamvv" w:id="49"/>
    <w:bookmarkEnd w:id="49"/>
    <w:bookmarkStart w:colFirst="0" w:colLast="0" w:name="bookmark=id.46r0co2" w:id="50"/>
    <w:bookmarkEnd w:id="50"/>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D.L. 16 luglio 2020, n. 76 recante Misure urgenti per la semplificazione e l'innovazione digitale (GU Serie Generale n.178 del 16-07-2020 - Suppl. Ordinario n. 24);</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Legge 30 dicembre 2020, n. 178, recante “Bilancio di previsione dello Stato per l’anno finanziario 2021 e bilancio pluriennale per il triennio 2021-2023”;</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Legge 29 dicembre 2022, n. 197, recante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Bilancio di previsione dello Stato per l'anno finanziario 2023 e bilancio pluriennale per il triennio 2023-2025</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w:t>
      </w:r>
      <w:hyperlink r:id="rId8">
        <w:r w:rsidDel="00000000" w:rsidR="00000000" w:rsidRPr="00000000">
          <w:rPr>
            <w:rFonts w:ascii="Liberation Serif" w:cs="Liberation Serif" w:eastAsia="Liberation Serif" w:hAnsi="Liberation Serif"/>
            <w:b w:val="0"/>
            <w:i w:val="0"/>
            <w:smallCaps w:val="0"/>
            <w:strike w:val="0"/>
            <w:color w:val="000000"/>
            <w:sz w:val="24"/>
            <w:szCs w:val="24"/>
            <w:highlight w:val="white"/>
            <w:u w:val="single"/>
            <w:vertAlign w:val="baseline"/>
            <w:rtl w:val="0"/>
          </w:rPr>
          <w:t xml:space="preserve">(GU Serie Generale n.303 del 29-12-2022 - Suppl. Ordinario n. 43)</w:t>
        </w:r>
      </w:hyperlink>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11 della Legge 16 gennaio 2003, n. 3, recante “Disposizioni ordinamentali in materia di pubblica amministrazione”, in forza del quale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3 della Legge 13 agosto 2010, n. 136, recante il “Piano straordinario contro le mafie, nonché delega al Governo in materia di normativa antimafia”, in forza del quale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Ai fini della tracciabilità dei flussi finanziari, gli strumenti di pagamento devono riportare, in relazione a ciascuna transazione posta in essere dalla stazione appaltante e dagli altri soggetti di cui al comma 1, il codice identificativo di gara (CIG), attribuito dall'Autorità di vigilanza sui contratti pubblici di lavori, servizi e forniture su richiesta della stazione appaltante e, ove obbligatorio ai sensi dell'</w:t>
      </w:r>
      <w:hyperlink r:id="rId9">
        <w:r w:rsidDel="00000000" w:rsidR="00000000" w:rsidRPr="00000000">
          <w:rPr>
            <w:rFonts w:ascii="Liberation Serif" w:cs="Liberation Serif" w:eastAsia="Liberation Serif" w:hAnsi="Liberation Serif"/>
            <w:b w:val="0"/>
            <w:i w:val="1"/>
            <w:smallCaps w:val="0"/>
            <w:strike w:val="0"/>
            <w:color w:val="000000"/>
            <w:sz w:val="24"/>
            <w:szCs w:val="24"/>
            <w:highlight w:val="white"/>
            <w:u w:val="single"/>
            <w:vertAlign w:val="baseline"/>
            <w:rtl w:val="0"/>
          </w:rPr>
          <w:t xml:space="preserve">articolo 11 della legge 16 gennaio 2003, n. 3</w:t>
        </w:r>
      </w:hyperlink>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 il codice unico di progetto (CUP)</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Determinazione ANAC n. 4 del 7 luglio 2011, recante 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Linee guida sulla tracciabilita’ dei flussi finanziari ai sensi dell’articolo 3 della legge 13 agosto 2010, n. 136</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come aggiornata dalla delibera ANAC n. 556/2017 e da ultimo modificata dalla delibera ANAC n. 371/2022;</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del CIPE n. 63 del 26 novembre 2020 che introduce la normativa attuativa della riforma del CUP;</w:t>
      </w:r>
      <w:r w:rsidDel="00000000" w:rsidR="00000000" w:rsidRPr="00000000">
        <w:rPr>
          <w:rtl w:val="0"/>
        </w:rPr>
      </w:r>
    </w:p>
    <w:bookmarkStart w:colFirst="0" w:colLast="0" w:name="bookmark=id.111kx3o" w:id="51"/>
    <w:bookmarkEnd w:id="51"/>
    <w:bookmarkStart w:colFirst="0" w:colLast="0" w:name="bookmark=id.3l18frh" w:id="52"/>
    <w:bookmarkEnd w:id="52"/>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Decreto-Legge 6 maggio 2021, n. 59, convertito, con modificazioni, dalla legge 1° luglio 2021, n. 101, recante “Misure urgenti relative al Fondo complementare al Piano nazionale di ripresa e resilienza e altre misure urgenti per gli investimenti”;</w:t>
      </w:r>
      <w:r w:rsidDel="00000000" w:rsidR="00000000" w:rsidRPr="00000000">
        <w:rPr>
          <w:rtl w:val="0"/>
        </w:rPr>
      </w:r>
    </w:p>
    <w:bookmarkStart w:colFirst="0" w:colLast="0" w:name="bookmark=id.206ipza" w:id="53"/>
    <w:bookmarkEnd w:id="53"/>
    <w:bookmarkStart w:colFirst="0" w:colLast="0" w:name="bookmark=id.4k668n3" w:id="54"/>
    <w:bookmarkEnd w:id="54"/>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Legge 9 giugno 2021, n. 80, convertito nella legge 6 agosto 2021, n. 113, recante: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Misure urgenti per il rafforzamento della capacità amministrativa delle pubbliche amministrazioni funzionale all'attuazione del Piano nazionale di ripresa e resilienza (PNRR) e per l'efficienza della giustizia» che, al secondo periodo del comma 1 dell’articolo 7 prevede che «Con decreto del Presidente del Consiglio dei ministri, su proposta del Ministro dell'economia e delle finanze, si provvede alla individuazione delle amministrazioni di cui all'articolo 8, comma 1, del decreto-legge 31 maggio 2021, n. 77</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2zbgiuw" w:id="55"/>
    <w:bookmarkEnd w:id="55"/>
    <w:bookmarkStart w:colFirst="0" w:colLast="0" w:name="bookmark=id.1egqt2p" w:id="56"/>
    <w:bookmarkEnd w:id="56"/>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Decreto-legge del 31 maggio 2021, n. 77, convertito nella legge 29 luglio 2021, n. 108, recante: «Governance del Piano nazionale di ripresa e resilienza e prime misure di rafforzamento delle strutture amministrative e di accelerazione e snellimento delle procedure»;</w:t>
      </w:r>
      <w:r w:rsidDel="00000000" w:rsidR="00000000" w:rsidRPr="00000000">
        <w:rPr>
          <w:rtl w:val="0"/>
        </w:rPr>
      </w:r>
    </w:p>
    <w:bookmarkStart w:colFirst="0" w:colLast="0" w:name="bookmark=id.3ygebqi" w:id="57"/>
    <w:bookmarkEnd w:id="57"/>
    <w:bookmarkStart w:colFirst="0" w:colLast="0" w:name="bookmark=id.2dlolyb" w:id="58"/>
    <w:bookmarkEnd w:id="58"/>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Decreto-Legge 6 novembre 2021, n. 152, convertito, con modificazioni, dalla legge 29 dicembre 2021, n. 233, recante “Disposizioni urgenti per l’attuazione del Piano nazionale di ripresa e resilienza (PNRR) e per la prevenzione delle infiltrazioni mafiose”;</w:t>
      </w:r>
      <w:r w:rsidDel="00000000" w:rsidR="00000000" w:rsidRPr="00000000">
        <w:rPr>
          <w:rtl w:val="0"/>
        </w:rPr>
      </w:r>
    </w:p>
    <w:bookmarkStart w:colFirst="0" w:colLast="0" w:name="bookmark=id.3cqmetx" w:id="59"/>
    <w:bookmarkEnd w:id="59"/>
    <w:bookmarkStart w:colFirst="0" w:colLast="0" w:name="bookmark=id.sqyw64" w:id="60"/>
    <w:bookmarkEnd w:id="60"/>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Legge 30 aprile 2022, n. 36, convertito, con modificazioni, dalla legge 29 giugno 2022, n. 79, recante “Ulteriori misure urgenti per l’attuazione del Piano nazionale di ripresa e resilienza” e, in particolare, l’articolo 47;</w:t>
      </w:r>
      <w:r w:rsidDel="00000000" w:rsidR="00000000" w:rsidRPr="00000000">
        <w:rPr>
          <w:rtl w:val="0"/>
        </w:rPr>
      </w:r>
    </w:p>
    <w:bookmarkStart w:colFirst="0" w:colLast="0" w:name="bookmark=id.1rvwp1q" w:id="61"/>
    <w:bookmarkEnd w:id="61"/>
    <w:bookmarkStart w:colFirst="0" w:colLast="0" w:name="bookmark=id.4bvk7pj" w:id="62"/>
    <w:bookmarkEnd w:id="62"/>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Decreto-Legge 11 novembre 2022, n. 173, recante “Disposizioni urgenti in materia di riordino delle attribuzioni dei Ministeri”;</w:t>
      </w:r>
      <w:r w:rsidDel="00000000" w:rsidR="00000000" w:rsidRPr="00000000">
        <w:rPr>
          <w:rtl w:val="0"/>
        </w:rPr>
      </w:r>
    </w:p>
    <w:bookmarkStart w:colFirst="0" w:colLast="0" w:name="bookmark=id.1664s55" w:id="63"/>
    <w:bookmarkEnd w:id="63"/>
    <w:bookmarkStart w:colFirst="0" w:colLast="0" w:name="bookmark=id.2r0uhxc" w:id="64"/>
    <w:bookmarkEnd w:id="64"/>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Euratom) n. 966/2012;</w:t>
      </w:r>
      <w:r w:rsidDel="00000000" w:rsidR="00000000" w:rsidRPr="00000000">
        <w:rPr>
          <w:rtl w:val="0"/>
        </w:rPr>
      </w:r>
    </w:p>
    <w:bookmarkStart w:colFirst="0" w:colLast="0" w:name="bookmark=id.3q5sasy" w:id="65"/>
    <w:bookmarkEnd w:id="65"/>
    <w:bookmarkStart w:colFirst="0" w:colLast="0" w:name="bookmark=id.25b2l0r" w:id="66"/>
    <w:bookmarkEnd w:id="66"/>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Regolamento (UE) 2021/241 del Parlamento europeo e del Consiglio, del 12 febbraio 2021 che istituisce il Dispositivo per la ripresa e per la resilienza;</w:t>
      </w:r>
      <w:r w:rsidDel="00000000" w:rsidR="00000000" w:rsidRPr="00000000">
        <w:rPr>
          <w:rtl w:val="0"/>
        </w:rPr>
      </w:r>
    </w:p>
    <w:bookmarkStart w:colFirst="0" w:colLast="0" w:name="bookmark=id.kgcv8k" w:id="67"/>
    <w:bookmarkEnd w:id="67"/>
    <w:bookmarkStart w:colFirst="0" w:colLast="0" w:name="bookmark=id.34g0dwd" w:id="68"/>
    <w:bookmarkEnd w:id="68"/>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r w:rsidDel="00000000" w:rsidR="00000000" w:rsidRPr="00000000">
        <w:rPr>
          <w:rtl w:val="0"/>
        </w:rPr>
      </w:r>
    </w:p>
    <w:bookmarkStart w:colFirst="0" w:colLast="0" w:name="bookmark=id.1jlao46" w:id="69"/>
    <w:bookmarkEnd w:id="69"/>
    <w:bookmarkStart w:colFirst="0" w:colLast="0" w:name="bookmark=id.43ky6rz" w:id="70"/>
    <w:bookmarkEnd w:id="70"/>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Piano nazionale di ripresa e resilienza (PNRR), la cui valutazione positiva è stata approvata con Decisione del Consiglio ECOFIN del 13 luglio 2021 e notificata all’Italia dal Segretariato generale del Consiglio con nota LT161/21, del 14 luglio 2021;</w:t>
      </w:r>
      <w:r w:rsidDel="00000000" w:rsidR="00000000" w:rsidRPr="00000000">
        <w:rPr>
          <w:rtl w:val="0"/>
        </w:rPr>
      </w:r>
    </w:p>
    <w:bookmarkStart w:colFirst="0" w:colLast="0" w:name="bookmark=id.xvir7l" w:id="71"/>
    <w:bookmarkEnd w:id="71"/>
    <w:bookmarkStart w:colFirst="0" w:colLast="0" w:name="bookmark=id.2iq8gzs" w:id="72"/>
    <w:bookmarkEnd w:id="72"/>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VISTI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 principi trasversali previsti dal PNRR, quali, tra l’altro, il principio del contributo all’obiettivo climatico e digitale (c.d. tagging), il principio di parità di genere e l’obbligo di protezione e valorizzazione dei giovani;</w:t>
      </w:r>
      <w:r w:rsidDel="00000000" w:rsidR="00000000" w:rsidRPr="00000000">
        <w:rPr>
          <w:rtl w:val="0"/>
        </w:rPr>
      </w:r>
    </w:p>
    <w:bookmarkStart w:colFirst="0" w:colLast="0" w:name="bookmark=id.1x0gk37" w:id="73"/>
    <w:bookmarkEnd w:id="73"/>
    <w:bookmarkStart w:colFirst="0" w:colLast="0" w:name="bookmark=id.4h042r0" w:id="74"/>
    <w:bookmarkEnd w:id="74"/>
    <w:bookmarkStart w:colFirst="0" w:colLast="0" w:name="bookmark=id.3hv69ve" w:id="75"/>
    <w:bookmarkEnd w:id="75"/>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gli obblighi di assicurare il conseguimento di target e milestone e degli obiettivi finanziari stabiliti nel PNRR;</w:t>
      </w:r>
      <w:r w:rsidDel="00000000" w:rsidR="00000000" w:rsidRPr="00000000">
        <w:rPr>
          <w:rtl w:val="0"/>
        </w:rPr>
      </w:r>
    </w:p>
    <w:bookmarkStart w:colFirst="0" w:colLast="0" w:name="bookmark=id.2w5ecyt" w:id="76"/>
    <w:bookmarkEnd w:id="76"/>
    <w:bookmarkStart w:colFirst="0" w:colLast="0" w:name="bookmark=id.1baon6m" w:id="77"/>
    <w:bookmarkEnd w:id="77"/>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Presidente del Consiglio dei Ministri del 30 settembre 2020 n. 166, recante “Regolamento concernente l’organizzazione del Ministero dell’Istruzione”</w:t>
      </w:r>
      <w:r w:rsidDel="00000000" w:rsidR="00000000" w:rsidRPr="00000000">
        <w:rPr>
          <w:rtl w:val="0"/>
        </w:rPr>
      </w:r>
    </w:p>
    <w:bookmarkStart w:colFirst="0" w:colLast="0" w:name="bookmark=id.3vac5uf" w:id="78"/>
    <w:bookmarkEnd w:id="78"/>
    <w:bookmarkStart w:colFirst="0" w:colLast="0" w:name="bookmark=id.2afmg28" w:id="79"/>
    <w:bookmarkEnd w:id="79"/>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dell’economia e delle finanze 6 agosto 2021 e successive modificazioni e integrazioni, con il quale sono state assegnate le risorse in favore di ciascuna Amministrazione titolare degli interventi PNRR e corrispondenti milestone e target;</w:t>
      </w:r>
      <w:r w:rsidDel="00000000" w:rsidR="00000000" w:rsidRPr="00000000">
        <w:rPr>
          <w:rtl w:val="0"/>
        </w:rPr>
      </w:r>
    </w:p>
    <w:bookmarkStart w:colFirst="0" w:colLast="0" w:name="bookmark=id.39kk8xu" w:id="80"/>
    <w:bookmarkEnd w:id="80"/>
    <w:bookmarkStart w:colFirst="0" w:colLast="0" w:name="bookmark=id.pkwqa1" w:id="81"/>
    <w:bookmarkEnd w:id="81"/>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di concerto con il Ministro dell’economia e delle finanze, 21 settembre 2021, n. 284, di istituzione di una Unità di missione di livello dirigenziale generale per l’attuazione degli interventi del Piano nazionale di ripresa e resilienza a titolarità del Ministero dell’istruzione;</w:t>
      </w:r>
      <w:r w:rsidDel="00000000" w:rsidR="00000000" w:rsidRPr="00000000">
        <w:rPr>
          <w:rtl w:val="0"/>
        </w:rPr>
      </w:r>
    </w:p>
    <w:bookmarkStart w:colFirst="0" w:colLast="0" w:name="bookmark=id.1opuj5n" w:id="82"/>
    <w:bookmarkEnd w:id="82"/>
    <w:bookmarkStart w:colFirst="0" w:colLast="0" w:name="bookmark=id.48pi1tg" w:id="83"/>
    <w:bookmarkEnd w:id="83"/>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30 novembre 2021, n. 341, che individua ulteriori uffici di livello dirigenziale non generale all’interno dell’Unità di missione per il PNRR;</w:t>
      </w:r>
      <w:r w:rsidDel="00000000" w:rsidR="00000000" w:rsidRPr="00000000">
        <w:rPr>
          <w:rtl w:val="0"/>
        </w:rPr>
      </w:r>
    </w:p>
    <w:bookmarkStart w:colFirst="0" w:colLast="0" w:name="bookmark=id.1302m92" w:id="84"/>
    <w:bookmarkEnd w:id="84"/>
    <w:bookmarkStart w:colFirst="0" w:colLast="0" w:name="bookmark=id.2nusc19" w:id="85"/>
    <w:bookmarkEnd w:id="85"/>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15 febbraio 2022, n. 31, con cui sono state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r w:rsidDel="00000000" w:rsidR="00000000" w:rsidRPr="00000000">
        <w:rPr>
          <w:rtl w:val="0"/>
        </w:rPr>
      </w:r>
    </w:p>
    <w:bookmarkStart w:colFirst="0" w:colLast="0" w:name="bookmark=id.3mzq4wv" w:id="86"/>
    <w:bookmarkEnd w:id="86"/>
    <w:bookmarkStart w:colFirst="0" w:colLast="0" w:name="bookmark=id.2250f4o" w:id="87"/>
    <w:bookmarkEnd w:id="87"/>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 14 ottobre 2021, n. 21 del Ministero dell’economia e delle finanze – Dipartimento della ragioneria generale dello Stato - Servizio centrale per il PNRR, recante «Trasmissione delle Istruzioni Tecniche per la selezione dei progetti PNRR»;</w:t>
      </w:r>
      <w:r w:rsidDel="00000000" w:rsidR="00000000" w:rsidRPr="00000000">
        <w:rPr>
          <w:rtl w:val="0"/>
        </w:rPr>
      </w:r>
    </w:p>
    <w:bookmarkStart w:colFirst="0" w:colLast="0" w:name="bookmark=id.haapch" w:id="88"/>
    <w:bookmarkEnd w:id="88"/>
    <w:bookmarkStart w:colFirst="0" w:colLast="0" w:name="bookmark=id.319y80a" w:id="89"/>
    <w:bookmarkEnd w:id="89"/>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 Linee guida per le Amministrazioni centrali titolari di 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milestone e di ogni altro adempimento previsto dalla normativa europea e nazionale applicabile al PNRR, a norma dell’articolo 8, comma 3, del decreto-legge 31 maggio 2021, n. 77, convertito, con modificazioni, dalla legge 29 luglio 2021, n. 108;</w:t>
      </w:r>
      <w:r w:rsidDel="00000000" w:rsidR="00000000" w:rsidRPr="00000000">
        <w:rPr>
          <w:rtl w:val="0"/>
        </w:rPr>
      </w:r>
    </w:p>
    <w:bookmarkStart w:colFirst="0" w:colLast="0" w:name="bookmark=id.40ew0vw" w:id="90"/>
    <w:bookmarkEnd w:id="90"/>
    <w:bookmarkStart w:colFirst="0" w:colLast="0" w:name="bookmark=id.1gf8i83" w:id="91"/>
    <w:bookmarkEnd w:id="91"/>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Regolamento UE 2020/852 e, in particolare, l’articolo 17 che definisce gli obiettivi ambientali, tra cui il principio di non arrecare un danno significativo (DNSH, “Do no significant harm”), e la Comunicazione della Commissione UE 2021/C58/01, recante “Orientamenti tecnici sull’applicazione del principio «non arrecare un danno significativo» a norma del regolamento sul dispositivo per la ripresa e la resilienza”;</w:t>
      </w:r>
      <w:r w:rsidDel="00000000" w:rsidR="00000000" w:rsidRPr="00000000">
        <w:rPr>
          <w:rtl w:val="0"/>
        </w:rPr>
      </w:r>
    </w:p>
    <w:bookmarkStart w:colFirst="0" w:colLast="0" w:name="bookmark=id.2fk6b3p" w:id="92"/>
    <w:bookmarkEnd w:id="92"/>
    <w:bookmarkStart w:colFirst="0" w:colLast="0" w:name="bookmark=id.upglbi" w:id="93"/>
    <w:bookmarkEnd w:id="93"/>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 30 dicembre 2021, n. 32, del Ministero dell’economia e delle finanze – Dipartimento della Ragioneria generale dello Stato, avente ad oggetto “Piano Nazionale di Ripresa e Resilienza – Guida operativa per il rispetto del principio di non arrecare danno significativo all’ambiente (DNSH)”, </w:t>
      </w:r>
      <w:r w:rsidDel="00000000" w:rsidR="00000000" w:rsidRPr="00000000">
        <w:rPr>
          <w:rFonts w:ascii="Liberation Serif" w:cs="Liberation Serif" w:eastAsia="Liberation Serif" w:hAnsi="Liberation Serif"/>
          <w:b w:val="0"/>
          <w:i w:val="0"/>
          <w:smallCaps w:val="0"/>
          <w:strike w:val="0"/>
          <w:color w:val="202124"/>
          <w:sz w:val="24"/>
          <w:szCs w:val="24"/>
          <w:highlight w:val="white"/>
          <w:u w:val="none"/>
          <w:vertAlign w:val="baseline"/>
          <w:rtl w:val="0"/>
        </w:rPr>
        <w:t xml:space="preserve">che impone all’Amministrazione titolare della misura di dimostrare se la stessa sia stata effettivamente realizzata senza arrecare un danno significativo agli obiettivi ambientali;</w:t>
      </w:r>
      <w:r w:rsidDel="00000000" w:rsidR="00000000" w:rsidRPr="00000000">
        <w:rPr>
          <w:rtl w:val="0"/>
        </w:rPr>
      </w:r>
    </w:p>
    <w:bookmarkStart w:colFirst="0" w:colLast="0" w:name="bookmark=id.1tuee74" w:id="94"/>
    <w:bookmarkEnd w:id="94"/>
    <w:bookmarkStart w:colFirst="0" w:colLast="0" w:name="bookmark=id.3ep43zb" w:id="95"/>
    <w:bookmarkEnd w:id="95"/>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Guida operativa per il rispetto del principio di non arrecare danno significativo all’ambiente (cd. DNSH), edizione aggiornata allegata alla circolare RGS n. 33 del 13 ottobre 2022 e alla circolare RGS n. 22 del 14 maggio 2024;;</w:t>
      </w:r>
      <w:r w:rsidDel="00000000" w:rsidR="00000000" w:rsidRPr="00000000">
        <w:rPr>
          <w:rtl w:val="0"/>
        </w:rPr>
      </w:r>
    </w:p>
    <w:bookmarkStart w:colFirst="0" w:colLast="0" w:name="bookmark=id.2szc72q" w:id="96"/>
    <w:bookmarkEnd w:id="96"/>
    <w:bookmarkStart w:colFirst="0" w:colLast="0" w:name="bookmark=id.4du1wux" w:id="97"/>
    <w:bookmarkEnd w:id="97"/>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del 18 gennaio 2022, n. 4 del Ragioniere Generale dello Stato, recante “Piano nazionale di ripresa e resilienza (PNRR) – articolo 1, comma 1, del decreto-legge n. 80 del 2021 – Indicazioni attuative”;</w:t>
      </w:r>
      <w:r w:rsidDel="00000000" w:rsidR="00000000" w:rsidRPr="00000000">
        <w:rPr>
          <w:rtl w:val="0"/>
        </w:rPr>
      </w:r>
    </w:p>
    <w:bookmarkStart w:colFirst="0" w:colLast="0" w:name="bookmark=id.3s49zyc" w:id="98"/>
    <w:bookmarkEnd w:id="98"/>
    <w:bookmarkStart w:colFirst="0" w:colLast="0" w:name="bookmark=id.279ka65" w:id="99"/>
    <w:bookmarkEnd w:id="99"/>
    <w:bookmarkStart w:colFirst="0" w:colLast="0" w:name="bookmark=id.184mhaj" w:id="100"/>
    <w:bookmarkEnd w:id="100"/>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in particolare, l’art. 1, comma 7, lettera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della citata Legge 13 luglio 2015 n. 107;</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l’art. 16-ter del decreto legislativo 13 aprile 2017, n. 59 che inserisce le competenze linguistiche fra gli obiettivi del sistema di formazione in servizio dei docenti delle Istituzioni scolastiche;</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VISTE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le Conclusioni del Consiglio dell’Unione europea (2020/C 415/10) sull’istruzione digitale nelle società della conoscenza europee (2020/C 415/10); </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le Conclusioni del Consiglio dell’Unione europea (2020/C 212 I/03) sul contrasto alla crisi Covid-19 nel settore dell’istruzione e della formazione; </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Raccomandazione del Consiglio dell’Unione europea sul programma nazionale di riforma 2020 dell’Italia e che formula un parere del Consiglio sul programma di stabilità 2020 dell’Italia (COM(2020) 512 final), che richiede, tra l’altro, di investire nell’apprendimento a distanza, nonché nell’infrastruttura e nelle competenze digitali di educatori e discenti; </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Piano d’azione per l’istruzione digitale 2021-2027 “Ripensare l'istruzione e la formazione per l’era digitale” di cui alla Comunicazione COM(2020) 624 final del 30 settembre 2020 della Commissione al Parlamento europeo, al Consiglio, al Comitato Economico e sociale europeo e al Comitato delle regioni; </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Risoluzione del Consiglio dell’Unione Europea su un quadro strategico per la cooperazione europea nel settore dell’istruzione e della formazione verso uno spazio europeo dell’istruzione e oltre (2021-2030) (2021/C 66/01);</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Comunicazione della Commissione europea al Parlamento, al Consiglio, al Comitato economico e sociale europeo e al Comitato delle regioni, che adotta “Un’agenda per le competenze per l’Europa per la competitività sostenibile, l'equità sociale e la resilienza” (COM(2020) 274 final);</w:t>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Comunicazione della Commissione al Parlamento europeo, al Consiglio, al Comitato economico e sociale europeo e al Comitato delle Regioni, “Piano d’azione per l’integrazione e l’inclusione 2021-2027” (COM(2020) 758 final del 24 novembre 2020); </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Comunicazione della Commissione al Parlamento europeo, al Consiglio, al Comitato economico e sociale europeo e al Comitato delle Regioni, “Bussola per il digitale 2030: il modello europeo per il decennio digitale” (COM(2021) 118 final del 9 marzo 2021);  </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del Ministro dell’Istruzione n. 61 del 3 aprile 2023, recante “Decreto di destinazione di risorse per incentivare scambi ed esperienze formative all’estero per studenti e per il personale scolastico attraverso un potenziamento del programma Erasmus+ 2021- 2027 e nell’ambito della Missione 4 – Componente 1 – Investimento 3.1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Nuove competenze e nuovi linguaggi</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del Piano nazionale di ripresa e resilienza, finanziato dall’Unione europea – Next Generation EU”;</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del Ministro dell’Istruzione n. 65 del 12 aprile 2023, recante “Decreto di riparto delle risorse alle istituzioni scolastiche in attuazione della linea di investimento 3.1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Nuove competenze e nuovi linguaggi</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nell’ambito della Missione 4 – Istruzione e Ricerca – Componente 1 – “Potenziamento dell’offerta dei servizi all’istruzione: dagli asili nido all’Università” del Piano nazionale di ripresa e resilienza finanziato dall’Unione europea – Next Generation EU”;</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Decreto del Ministro dell’istruzione e del merito 22 dicembre 2022, n. 328, con il quale sono state adottate le Linee guida per l’orientamento;</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del Ministro dell’istruzione e del merito 15 settembre 2023, n. 184, con il quale sono state adottate le Linee guida per le discipline STEM; </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Nota MI n. 23940 del 19/09/2022 riportante le indicazioni operative in merito alla elaborazione dei documenti strategici delle istituzioni scolastiche per il triennio 2022-2025 e loro rapporto con PNRR;</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Nota MI n. 4588 del 24/10/2023 riportante le indicazioni operative per introdurre nel piano triennale dell’offerta formativa delle istituzioni scolastiche per il triennio 2022-2025 azioni dedicate a rafforzare le competenze matematico-scientifico-tecnologiche e digitali attraverso metodologie didattiche innovative e loro rapporto con PNRR;</w:t>
      </w:r>
      <w:r w:rsidDel="00000000" w:rsidR="00000000" w:rsidRPr="00000000">
        <w:rPr>
          <w:rtl w:val="0"/>
        </w:rPr>
      </w:r>
    </w:p>
    <w:bookmarkStart w:colFirst="0" w:colLast="0" w:name="bookmark=id.meukdy" w:id="101"/>
    <w:bookmarkEnd w:id="101"/>
    <w:bookmarkStart w:colFirst="0" w:colLast="0" w:name="bookmark=id.36ei31r" w:id="102"/>
    <w:bookmarkEnd w:id="102"/>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26 luglio 2022, n. 29 del Ragioniere Generale dello Stato, recante “Circolare delle procedure finanziarie PNRR”;</w:t>
      </w:r>
      <w:r w:rsidDel="00000000" w:rsidR="00000000" w:rsidRPr="00000000">
        <w:rPr>
          <w:rtl w:val="0"/>
        </w:rPr>
      </w:r>
    </w:p>
    <w:bookmarkStart w:colFirst="0" w:colLast="0" w:name="bookmark=id.1ljsd9k" w:id="103"/>
    <w:bookmarkEnd w:id="103"/>
    <w:bookmarkStart w:colFirst="0" w:colLast="0" w:name="bookmark=id.45jfvxd" w:id="104"/>
    <w:bookmarkEnd w:id="104"/>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Circolare 11 agosto 2022, n. 30, del Ragioniere Generale dello Stato, recante “Linee Guida per lo svolgimento delle attività di controllo e rendicontazione delle Misure PNRR di competenza delle Amministrazioni centrali e dei Soggetti Attuatori”;</w:t>
      </w:r>
      <w:r w:rsidDel="00000000" w:rsidR="00000000" w:rsidRPr="00000000">
        <w:rPr>
          <w:rtl w:val="0"/>
        </w:rPr>
      </w:r>
    </w:p>
    <w:bookmarkStart w:colFirst="0" w:colLast="0" w:name="bookmark=id.zu0gcz" w:id="105"/>
    <w:bookmarkEnd w:id="105"/>
    <w:bookmarkStart w:colFirst="0" w:colLast="0" w:name="bookmark=id.2koq656" w:id="106"/>
    <w:bookmarkEnd w:id="106"/>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CONSIDERATO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il PNRR, nell’ambito della citata Missione 4 – Istruzione e Ricerca – Componente 1, relativamente al predetto investimento, prevede, tra le altre cose, che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la misura mira a promuovere l’integrazione, all’interno dei curricula di tutti i cicli scolastici, di attività, metodologie e contenuti volti a sviluppare le competenze STEM, digitali e di innovazione, con particolare riguardo verso le pari opportunità</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l’Allegato 1 del D.M. 65/2023 del 12 aprile 2023 recante “Decreto di riparto delle risorse alle istituzioni scolastiche in attuazione della linea di investimento 3.1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Nuove competenze e nuovi linguaggi</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nell’ambito della Missione 4 – Istruzione e Ricerca – Componente 1 – “Potenziamento dell’offerta dei servizi all’istruzione: dagli asili nido all’Università” del Piano nazionale di ripresa e resilienza finanziato dall’Unione europea – Next Generation EU”;</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questa Istituzione Scolastica è stata autorizzata ad attuare le Azioni di potenziamento delle competenze STEM e multilinguistiche, in attuazione della linea di investimento 3.1 nell’ambito della Missione 4 - Componente 1 - del PNRR, con il progetto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Nuove competenze e nuovi linguaggi</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per un importo pari ad €</w:t>
      </w:r>
      <w:bookmarkStart w:colFirst="0" w:colLast="0" w:name="bookmark=id.3jtnz0s" w:id="107"/>
      <w:bookmarkEnd w:id="10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105751,67;</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QUADERNO N. 3 del Ministero dell’Istruzione, del novembre 2020, recante Istruzioni per il conferimento di incarichi individuali;</w:t>
      </w:r>
      <w:r w:rsidDel="00000000" w:rsidR="00000000" w:rsidRPr="00000000">
        <w:rPr>
          <w:rtl w:val="0"/>
        </w:rPr>
      </w:r>
    </w:p>
    <w:bookmarkStart w:colFirst="0" w:colLast="0" w:name="bookmark=id.4iylrwe" w:id="108"/>
    <w:bookmarkEnd w:id="108"/>
    <w:bookmarkStart w:colFirst="0" w:colLast="0" w:name="bookmark=id.1yyy98l" w:id="109"/>
    <w:bookmarkEnd w:id="109"/>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RITENUTO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che il Dirigente Scolastico, </w:t>
      </w:r>
      <w:bookmarkStart w:colFirst="0" w:colLast="0" w:name="bookmark=id.2y3w247" w:id="110"/>
      <w:bookmarkEnd w:id="11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 risulta pienamente idoneo a ricoprire l’incarico di Responsabile del Procedimento in relazione alla procedura in oggetto, in quanto soddisfa i requisiti richiesti Legge n. 241/1990; </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l’art. 6-bis della citata Legge n. 241/1990, relativo all’obbligo di astensione dall’incarico del Responsabile del Procedimento in caso di conflitto di interessi e all’obbligo di segnalazione da parte dello stesso di ogni situazione di conflitto di interessi, anche potenziale, in relazione alla procedura in oggetto;</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CONSIDERATO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il Responsabile del Procedimento individuato non versa in nessuna ipotesi di conflitto di interessi, anche potenziale, rispetto alla procedura di selezione in oggetto ed ha sottoscritto la dichiarazione di inesistenza di cause di conflitto di interessi ed obblighi di astensione;</w:t>
      </w:r>
      <w:r w:rsidDel="00000000" w:rsidR="00000000" w:rsidRPr="00000000">
        <w:rPr>
          <w:rtl w:val="0"/>
        </w:rPr>
      </w:r>
    </w:p>
    <w:bookmarkStart w:colFirst="0" w:colLast="0" w:name="bookmark=id.3x8tuzt" w:id="111"/>
    <w:bookmarkEnd w:id="111"/>
    <w:bookmarkStart w:colFirst="0" w:colLast="0" w:name="bookmark=id.1d96cc0" w:id="112"/>
    <w:bookmarkEnd w:id="112"/>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il Piano Triennale dell’Offerta Formativa (PTOF) per l’as. </w:t>
      </w:r>
      <w:bookmarkStart w:colFirst="0" w:colLast="0" w:name="bookmark=id.2ce457m" w:id="113"/>
      <w:bookmarkEnd w:id="11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2024/2025;</w:t>
      </w:r>
      <w:r w:rsidDel="00000000" w:rsidR="00000000" w:rsidRPr="00000000">
        <w:rPr>
          <w:rtl w:val="0"/>
        </w:rPr>
      </w:r>
    </w:p>
    <w:bookmarkStart w:colFirst="0" w:colLast="0" w:name="bookmark=id.3bj1y38" w:id="114"/>
    <w:bookmarkEnd w:id="114"/>
    <w:bookmarkStart w:colFirst="0" w:colLast="0" w:name="bookmark=id.rjefff" w:id="115"/>
    <w:bookmarkEnd w:id="115"/>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Programma Annuale E.F. </w:t>
      </w:r>
      <w:bookmarkStart w:colFirst="0" w:colLast="0" w:name="bookmark=id.1qoc8b1" w:id="116"/>
      <w:bookmarkEnd w:id="11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 approvato dall’Istituto con delibera del CdI prot. n. </w:t>
      </w:r>
      <w:bookmarkStart w:colFirst="0" w:colLast="0" w:name="bookmark=id.4anzqyu" w:id="117"/>
      <w:bookmarkEnd w:id="117"/>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10 del 14/02/2024;</w:t>
      </w:r>
      <w:r w:rsidDel="00000000" w:rsidR="00000000" w:rsidRPr="00000000">
        <w:rPr>
          <w:rtl w:val="0"/>
        </w:rPr>
      </w:r>
    </w:p>
    <w:bookmarkStart w:colFirst="0" w:colLast="0" w:name="bookmark=id.14ykbeg" w:id="118"/>
    <w:bookmarkEnd w:id="118"/>
    <w:bookmarkStart w:colFirst="0" w:colLast="0" w:name="bookmark=id.2pta16n" w:id="119"/>
    <w:bookmarkEnd w:id="119"/>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la linea di finanziamento che interessa codesta scuola è:</w:t>
      </w:r>
      <w:r w:rsidDel="00000000" w:rsidR="00000000" w:rsidRPr="00000000">
        <w:rPr>
          <w:rtl w:val="0"/>
        </w:rPr>
      </w:r>
    </w:p>
    <w:bookmarkStart w:colFirst="0" w:colLast="0" w:name="bookmark=id.3oy7u29" w:id="120"/>
    <w:bookmarkEnd w:id="120"/>
    <w:p w:rsidR="00000000" w:rsidDel="00000000" w:rsidP="00000000" w:rsidRDefault="00000000" w:rsidRPr="00000000" w14:paraId="0000005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left"/>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p>
    <w:bookmarkStart w:colFirst="0" w:colLast="0" w:name="bookmark=id.j8sehv" w:id="121"/>
    <w:bookmarkEnd w:id="121"/>
    <w:bookmarkStart w:colFirst="0" w:colLast="0" w:name="bookmark=id.243i4a2" w:id="122"/>
    <w:bookmarkEnd w:id="122"/>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l’accordo di concessione prot. n. </w:t>
      </w:r>
      <w:bookmarkStart w:colFirst="0" w:colLast="0" w:name="bookmark=id.338fx5o" w:id="123"/>
      <w:bookmarkEnd w:id="123"/>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22941 del 18/02/2024, firmato dal Ministero dell’istruzione e del merito, rappresentato dalla dott.ssa Montesarchio, Direttore generale e coordinatrice dell’Unità di missione per il Piano nazionale di ripresa e resilienza, che autorizza l'attuazione del progetto </w:t>
      </w:r>
      <w:bookmarkStart w:colFirst="0" w:colLast="0" w:name="bookmark=id.1idq7dh" w:id="124"/>
      <w:bookmarkEnd w:id="124"/>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M4C1I3.1-2023-1143-P-40752 dal titolo "</w:t>
      </w:r>
      <w:bookmarkStart w:colFirst="0" w:colLast="0" w:name="bookmark=id.42ddq1a" w:id="125"/>
      <w:bookmarkEnd w:id="125"/>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PROGRAMMARE PER COMUNICARE" per un importo pari a €</w:t>
      </w:r>
      <w:bookmarkStart w:colFirst="0" w:colLast="0" w:name="bookmark=id.2hio093" w:id="126"/>
      <w:bookmarkEnd w:id="12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105751,67;</w:t>
      </w:r>
      <w:r w:rsidDel="00000000" w:rsidR="00000000" w:rsidRPr="00000000">
        <w:rPr>
          <w:rtl w:val="0"/>
        </w:rPr>
      </w:r>
    </w:p>
    <w:bookmarkStart w:colFirst="0" w:colLast="0" w:name="bookmark=id.3gnlt4p" w:id="127"/>
    <w:bookmarkEnd w:id="127"/>
    <w:bookmarkStart w:colFirst="0" w:colLast="0" w:name="bookmark=id.wnyagw" w:id="128"/>
    <w:bookmarkEnd w:id="128"/>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delibera n. </w:t>
      </w:r>
      <w:bookmarkStart w:colFirst="0" w:colLast="0" w:name="bookmark=id.1vsw3ci" w:id="129"/>
      <w:bookmarkEnd w:id="12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8 del 31/01/2024 del Consiglio di Istituto di adesione al progetto;</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decreto prot. n. </w:t>
      </w:r>
      <w:bookmarkStart w:colFirst="0" w:colLast="0" w:name="bookmark=id.4fsjm0b" w:id="130"/>
      <w:bookmarkEnd w:id="130"/>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2091 del 28/02/2024 di formale assunzione al Programma Annuale E.F. </w:t>
      </w:r>
      <w:bookmarkStart w:colFirst="0" w:colLast="0" w:name="bookmark=id.2uxtw84" w:id="131"/>
      <w:bookmarkEnd w:id="131"/>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2024 del finanziamento citato;</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la propria azione di disseminazione, comunicazione, sensibilizzazione e pubblicizzazione del progetto, prot. </w:t>
      </w:r>
      <w:bookmarkStart w:colFirst="0" w:colLast="0" w:name="bookmark=id.1a346fx" w:id="132"/>
      <w:bookmarkEnd w:id="132"/>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2269 del 04/03/2024;</w:t>
      </w:r>
      <w:r w:rsidDel="00000000" w:rsidR="00000000" w:rsidRPr="00000000">
        <w:rPr>
          <w:rtl w:val="0"/>
        </w:rPr>
      </w:r>
    </w:p>
    <w:bookmarkStart w:colFirst="0" w:colLast="0" w:name="bookmark=id.3u2rp3q" w:id="133"/>
    <w:bookmarkEnd w:id="133"/>
    <w:bookmarkStart w:colFirst="0" w:colLast="0" w:name="bookmark=id.2981zbj" w:id="134"/>
    <w:bookmarkEnd w:id="134"/>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RITENUTO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questa Istituzione scolastica provvederà, prioritariamente, ad individuare al proprio interno la figura richiesta, anche attraverso ricognizione del personale interno all’Istituzione stessa;</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CONSIDERATO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ove non sia possibile procedere al conferimento dell’incarico in oggetto a favore del personale dipendente in servizio presso questa Amministrazione, si procederà con il conferimento dell’incarico a favore di personale esterno all’Amministrazione scolastica, secondo le modalità e nelle forme indicate nel presente documento;</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PRESO ATTO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della necessità di procedere tempestivamente al conferimento dell’incarico in oggetto tenuto conto dei tempi di realizzazione delle attività formative come indicate nella nota di autorizzazione del presente progetto;</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della Funzione Pubblica n. 2/2008;</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in particolare l’art. 43 del citato decreto Interministeriale n. 129 del 28 agosto 2018 che consente all’istituzione scolastica la stipula di contratti di prestazione d’opera con esperti per particolari attività ed insegnamenti, al fine di garantire l’arricchimento dell’offerta formativa nonché la realizzazione di specifici programmi di ricerca e sperimentazione;</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che ai sensi dell’art. 45 del D.I. 129/2018, l’istituzione scolastica può stipulare contratti di prestazione d’opera con esperti interni ed esterni al fine di garantire l’arricchimento dell’offerta formativa, nonché la realizzazione di specifici programmi di ricerca e di sperimentazione;</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Circolare n. 2 del 2 febbraio 2009 del Ministero del Lavoro che regolamenta i compensi, gli aspetti fiscali e contributivi per gli incarichi ed impieghi nella P.A.;</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VISTO</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il CCNL del 18 gennaio 2024, recante il “Contratto Collettivo Nazionale di Lavoro del personale del comparto “Istruzione e Ricerca” Periodo 2019-2021”;</w:t>
      </w:r>
      <w:r w:rsidDel="00000000" w:rsidR="00000000" w:rsidRPr="00000000">
        <w:rPr>
          <w:rtl w:val="0"/>
        </w:rPr>
      </w:r>
    </w:p>
    <w:bookmarkStart w:colFirst="0" w:colLast="0" w:name="bookmark=id.1nia2ey" w:id="135"/>
    <w:bookmarkEnd w:id="135"/>
    <w:bookmarkStart w:colFirst="0" w:colLast="0" w:name="bookmark=id.38czs75" w:id="136"/>
    <w:bookmarkEnd w:id="136"/>
    <w:bookmarkStart w:colFirst="0" w:colLast="0" w:name="bookmark=id.odc9jc" w:id="137"/>
    <w:bookmarkEnd w:id="137"/>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RILEVATA</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la necessità di individuare, prioritariamente tra il personale interno, </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Docenti Esperti e Docenti Tutor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 la realizzazione</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n. </w:t>
      </w:r>
      <w:bookmarkStart w:colFirst="0" w:colLast="0" w:name="bookmark=id.47hxl2r" w:id="138"/>
      <w:bookmarkEnd w:id="138"/>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16 </w:t>
      </w:r>
      <w:bookmarkStart w:colFirst="0" w:colLast="0" w:name="bookmark=id.2mn7vak" w:id="139"/>
      <w:bookmarkEnd w:id="139"/>
      <w:r w:rsidDel="00000000" w:rsidR="00000000" w:rsidRPr="00000000">
        <w:rPr>
          <w:rFonts w:ascii="Liberation Serif" w:cs="Liberation Serif" w:eastAsia="Liberation Serif" w:hAnsi="Liberation Serif"/>
          <w:b w:val="0"/>
          <w:i w:val="1"/>
          <w:smallCaps w:val="0"/>
          <w:strike w:val="0"/>
          <w:color w:val="000000"/>
          <w:sz w:val="24"/>
          <w:szCs w:val="24"/>
          <w:u w:val="none"/>
          <w:shd w:fill="auto" w:val="clear"/>
          <w:vertAlign w:val="baseline"/>
          <w:rtl w:val="0"/>
        </w:rPr>
        <w:t xml:space="preserve">Percorsi di orientamento e formazione per il potenziamento delle competenze STEM, digitali e di innovazione, finalizzate alla promozione di pari opportunità di genere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nell’ambito delle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“Azioni di potenziamento delle competenze STEM e multilinguistiche - Linea di Intervento A”</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w:t>
      </w:r>
      <w:r w:rsidDel="00000000" w:rsidR="00000000" w:rsidRPr="00000000">
        <w:rPr>
          <w:rtl w:val="0"/>
        </w:rPr>
      </w:r>
    </w:p>
    <w:bookmarkStart w:colFirst="0" w:colLast="0" w:name="bookmark=id.11si5id" w:id="140"/>
    <w:bookmarkEnd w:id="140"/>
    <w:bookmarkStart w:colFirst="0" w:colLast="0" w:name="bookmark=id.3ls5o66" w:id="141"/>
    <w:bookmarkEnd w:id="141"/>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tutto ciò visto e rilevato, che costituisce parte integrante del presente provvedimento,</w:t>
      </w:r>
      <w:r w:rsidDel="00000000" w:rsidR="00000000" w:rsidRPr="00000000">
        <w:rPr>
          <w:rtl w:val="0"/>
        </w:rPr>
      </w:r>
    </w:p>
    <w:p w:rsidR="00000000" w:rsidDel="00000000" w:rsidP="00000000" w:rsidRDefault="00000000" w:rsidRPr="00000000" w14:paraId="00000063">
      <w:pPr>
        <w:pStyle w:val="Heading3"/>
        <w:spacing w:after="0" w:before="0" w:lineRule="auto"/>
        <w:jc w:val="center"/>
        <w:rPr>
          <w:highlight w:val="white"/>
        </w:rPr>
      </w:pPr>
      <w:r w:rsidDel="00000000" w:rsidR="00000000" w:rsidRPr="00000000">
        <w:rPr>
          <w:highlight w:val="white"/>
          <w:rtl w:val="0"/>
        </w:rPr>
        <w:t xml:space="preserve">DECRETA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t xml:space="preserve">per i motivi espressi nella premessa, che si intendono integralmente richiamati: </w:t>
      </w:r>
    </w:p>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autorizzare l’avvio di una selezione </w:t>
      </w:r>
      <w:bookmarkStart w:colFirst="0" w:colLast="0" w:name="bookmark=id.20xfydz" w:id="142"/>
      <w:bookmarkEnd w:id="142"/>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interna, aperta anche a dipendenti di altra scuola, di altra P.A. e a lavoratori autonomi</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volta al conferimento di incarichi individuali per lo svolgimento dell'attività di</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Docente Esperto e Docente Tutor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per la realizzazione di</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 n. </w:t>
      </w:r>
      <w:bookmarkStart w:colFirst="0" w:colLast="0" w:name="bookmark=id.4kx3h1s" w:id="143"/>
      <w:bookmarkEnd w:id="143"/>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16 </w:t>
      </w:r>
      <w:bookmarkStart w:colFirst="0" w:colLast="0" w:name="bookmark=id.302dr9l" w:id="144"/>
      <w:bookmarkEnd w:id="144"/>
      <w:r w:rsidDel="00000000" w:rsidR="00000000" w:rsidRPr="00000000">
        <w:rPr>
          <w:rFonts w:ascii="Liberation Serif" w:cs="Liberation Serif" w:eastAsia="Liberation Serif" w:hAnsi="Liberation Serif"/>
          <w:b w:val="0"/>
          <w:i w:val="1"/>
          <w:smallCaps w:val="0"/>
          <w:strike w:val="0"/>
          <w:color w:val="000000"/>
          <w:sz w:val="24"/>
          <w:szCs w:val="24"/>
          <w:u w:val="none"/>
          <w:shd w:fill="auto" w:val="clear"/>
          <w:vertAlign w:val="baseline"/>
          <w:rtl w:val="0"/>
        </w:rPr>
        <w:t xml:space="preserve">Percorsi di orientamento e formazione per il potenziamento delle competenze STEM, digitali e di innovazione, finalizzate alla promozione di pari opportunità di genere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nell’ambito delle </w:t>
      </w:r>
      <w:r w:rsidDel="00000000" w:rsidR="00000000" w:rsidRPr="00000000">
        <w:rPr>
          <w:rFonts w:ascii="Liberation Serif" w:cs="Liberation Serif" w:eastAsia="Liberation Serif" w:hAnsi="Liberation Serif"/>
          <w:b w:val="0"/>
          <w:i w:val="1"/>
          <w:smallCaps w:val="0"/>
          <w:strike w:val="0"/>
          <w:color w:val="000000"/>
          <w:sz w:val="24"/>
          <w:szCs w:val="24"/>
          <w:highlight w:val="white"/>
          <w:u w:val="none"/>
          <w:vertAlign w:val="baseline"/>
          <w:rtl w:val="0"/>
        </w:rPr>
        <w:t xml:space="preserve">“Azioni di potenziamento delle competenze STEM e multilinguistiche - Linea di Intervento A”</w:t>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mediante procedura comparativa di titoli, per un importo pari a €</w:t>
      </w:r>
      <w:bookmarkStart w:colFirst="0" w:colLast="0" w:name="bookmark=id.1f7o1he" w:id="145"/>
      <w:bookmarkEnd w:id="145"/>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20340,00</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 lordo stato, commisurato all’attività effettivamente svolta e rendicontata, fermo restando il raggiungimento dei target e milestone come indicati nel Progetto;</w:t>
      </w: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assumere l’incarico di Responsabile del Procedimento in questione ai sensi della Legge n. 241/1990;</w:t>
      </w:r>
    </w:p>
    <w:p w:rsidR="00000000" w:rsidDel="00000000" w:rsidP="00000000" w:rsidRDefault="00000000" w:rsidRPr="00000000" w14:paraId="000000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07"/>
        </w:tabs>
        <w:spacing w:after="0" w:before="0" w:line="276" w:lineRule="auto"/>
        <w:ind w:left="707" w:right="0" w:hanging="283"/>
        <w:jc w:val="both"/>
        <w:rPr>
          <w:rFonts w:ascii="Liberation Serif" w:cs="Liberation Serif" w:eastAsia="Liberation Serif" w:hAnsi="Liberation Serif"/>
          <w:b w:val="0"/>
          <w:i w:val="0"/>
          <w:smallCaps w:val="0"/>
          <w:strike w:val="0"/>
          <w:color w:val="000000"/>
          <w:sz w:val="24"/>
          <w:szCs w:val="24"/>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di pubblicare il presente provvedimento sul sito web dell’Istituzione Scolastica </w:t>
      </w:r>
      <w:bookmarkStart w:colFirst="0" w:colLast="0" w:name="bookmark=id.3z7bk57" w:id="146"/>
      <w:bookmarkEnd w:id="146"/>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https://iceral.edu.it/ per la massima diffusione, nelle sezioni Albo online nell’apposita sezione all’uopo dedicata.</w:t>
      </w:r>
    </w:p>
    <w:bookmarkStart w:colFirst="0" w:colLast="0" w:name="bookmark=id.2eclud0" w:id="147"/>
    <w:bookmarkEnd w:id="147"/>
    <w:bookmarkStart w:colFirst="0" w:colLast="0" w:name="bookmark=id.thw4kt" w:id="148"/>
    <w:bookmarkEnd w:id="148"/>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br w:type="textWrapping"/>
      </w:r>
      <w:r w:rsidDel="00000000" w:rsidR="00000000" w:rsidRPr="00000000">
        <w:rPr>
          <w:rFonts w:ascii="Liberation Serif" w:cs="Liberation Serif" w:eastAsia="Liberation Serif" w:hAnsi="Liberation Serif"/>
          <w:b w:val="1"/>
          <w:i w:val="0"/>
          <w:smallCaps w:val="0"/>
          <w:strike w:val="0"/>
          <w:color w:val="000000"/>
          <w:sz w:val="24"/>
          <w:szCs w:val="24"/>
          <w:highlight w:val="white"/>
          <w:u w:val="none"/>
          <w:vertAlign w:val="baseline"/>
          <w:rtl w:val="0"/>
        </w:rPr>
        <w:t xml:space="preserve">Il Dirigente Scolastico </w:t>
      </w:r>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br w:type="textWrapping"/>
      </w:r>
      <w:bookmarkStart w:colFirst="0" w:colLast="0" w:name="bookmark=id.3dhjn8m" w:id="149"/>
      <w:bookmarkEnd w:id="149"/>
      <w:r w:rsidDel="00000000" w:rsidR="00000000" w:rsidRPr="00000000">
        <w:rPr>
          <w:rFonts w:ascii="Liberation Serif" w:cs="Liberation Serif" w:eastAsia="Liberation Serif" w:hAnsi="Liberation Serif"/>
          <w:b w:val="0"/>
          <w:i w:val="0"/>
          <w:smallCaps w:val="0"/>
          <w:strike w:val="0"/>
          <w:color w:val="000000"/>
          <w:sz w:val="24"/>
          <w:szCs w:val="24"/>
          <w:highlight w:val="white"/>
          <w:u w:val="none"/>
          <w:vertAlign w:val="baseline"/>
          <w:rtl w:val="0"/>
        </w:rPr>
        <w:t xml:space="preserve">Dott.ssa Elisabetta Libralato</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16"/>
          <w:szCs w:val="16"/>
          <w:highlight w:val="white"/>
          <w:u w:val="none"/>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Documento informatico firmato digitalmente ai sensi del D.Lgs. 82/2005,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16"/>
          <w:szCs w:val="16"/>
          <w:highlight w:val="white"/>
          <w:u w:val="none"/>
          <w:vertAlign w:val="baseline"/>
          <w:rtl w:val="0"/>
        </w:rPr>
        <w:t xml:space="preserve">il quale sostituisce il documento cartaceo e la firma autografa.</w:t>
      </w:r>
      <w:r w:rsidDel="00000000" w:rsidR="00000000" w:rsidRPr="00000000">
        <w:rPr>
          <w:rtl w:val="0"/>
        </w:rPr>
      </w:r>
    </w:p>
    <w:sectPr>
      <w:pgSz w:h="16838" w:w="11906" w:orient="portrait"/>
      <w:pgMar w:bottom="567" w:top="567"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abstractNum w:abstractNumId="2">
    <w:lvl w:ilvl="0">
      <w:start w:val="1"/>
      <w:numFmt w:val="bullet"/>
      <w:lvlText w:val="●"/>
      <w:lvlJc w:val="left"/>
      <w:pPr>
        <w:ind w:left="707" w:hanging="282.99999999999994"/>
      </w:pPr>
      <w:rPr>
        <w:rFonts w:ascii="Noto Sans Symbols" w:cs="Noto Sans Symbols" w:eastAsia="Noto Sans Symbols" w:hAnsi="Noto Sans Symbols"/>
      </w:rPr>
    </w:lvl>
    <w:lvl w:ilvl="1">
      <w:start w:val="1"/>
      <w:numFmt w:val="bullet"/>
      <w:lvlText w:val="●"/>
      <w:lvlJc w:val="left"/>
      <w:pPr>
        <w:ind w:left="1414" w:hanging="283"/>
      </w:pPr>
      <w:rPr>
        <w:rFonts w:ascii="Noto Sans Symbols" w:cs="Noto Sans Symbols" w:eastAsia="Noto Sans Symbols" w:hAnsi="Noto Sans Symbols"/>
      </w:rPr>
    </w:lvl>
    <w:lvl w:ilvl="2">
      <w:start w:val="1"/>
      <w:numFmt w:val="bullet"/>
      <w:lvlText w:val="●"/>
      <w:lvlJc w:val="left"/>
      <w:pPr>
        <w:ind w:left="2121" w:hanging="283.0000000000002"/>
      </w:pPr>
      <w:rPr>
        <w:rFonts w:ascii="Noto Sans Symbols" w:cs="Noto Sans Symbols" w:eastAsia="Noto Sans Symbols" w:hAnsi="Noto Sans Symbols"/>
      </w:rPr>
    </w:lvl>
    <w:lvl w:ilvl="3">
      <w:start w:val="1"/>
      <w:numFmt w:val="bullet"/>
      <w:lvlText w:val="●"/>
      <w:lvlJc w:val="left"/>
      <w:pPr>
        <w:ind w:left="2828" w:hanging="283"/>
      </w:pPr>
      <w:rPr>
        <w:rFonts w:ascii="Noto Sans Symbols" w:cs="Noto Sans Symbols" w:eastAsia="Noto Sans Symbols" w:hAnsi="Noto Sans Symbols"/>
      </w:rPr>
    </w:lvl>
    <w:lvl w:ilvl="4">
      <w:start w:val="1"/>
      <w:numFmt w:val="bullet"/>
      <w:lvlText w:val="●"/>
      <w:lvlJc w:val="left"/>
      <w:pPr>
        <w:ind w:left="3535" w:hanging="283"/>
      </w:pPr>
      <w:rPr>
        <w:rFonts w:ascii="Noto Sans Symbols" w:cs="Noto Sans Symbols" w:eastAsia="Noto Sans Symbols" w:hAnsi="Noto Sans Symbols"/>
      </w:rPr>
    </w:lvl>
    <w:lvl w:ilvl="5">
      <w:start w:val="1"/>
      <w:numFmt w:val="bullet"/>
      <w:lvlText w:val="●"/>
      <w:lvlJc w:val="left"/>
      <w:pPr>
        <w:ind w:left="4242" w:hanging="283"/>
      </w:pPr>
      <w:rPr>
        <w:rFonts w:ascii="Noto Sans Symbols" w:cs="Noto Sans Symbols" w:eastAsia="Noto Sans Symbols" w:hAnsi="Noto Sans Symbols"/>
      </w:rPr>
    </w:lvl>
    <w:lvl w:ilvl="6">
      <w:start w:val="1"/>
      <w:numFmt w:val="bullet"/>
      <w:lvlText w:val="●"/>
      <w:lvlJc w:val="left"/>
      <w:pPr>
        <w:ind w:left="4949" w:hanging="283"/>
      </w:pPr>
      <w:rPr>
        <w:rFonts w:ascii="Noto Sans Symbols" w:cs="Noto Sans Symbols" w:eastAsia="Noto Sans Symbols" w:hAnsi="Noto Sans Symbols"/>
      </w:rPr>
    </w:lvl>
    <w:lvl w:ilvl="7">
      <w:start w:val="1"/>
      <w:numFmt w:val="bullet"/>
      <w:lvlText w:val="●"/>
      <w:lvlJc w:val="left"/>
      <w:pPr>
        <w:ind w:left="5656" w:hanging="282.9999999999991"/>
      </w:pPr>
      <w:rPr>
        <w:rFonts w:ascii="Noto Sans Symbols" w:cs="Noto Sans Symbols" w:eastAsia="Noto Sans Symbols" w:hAnsi="Noto Sans Symbols"/>
      </w:rPr>
    </w:lvl>
    <w:lvl w:ilvl="8">
      <w:start w:val="1"/>
      <w:numFmt w:val="bullet"/>
      <w:lvlText w:val="●"/>
      <w:lvlJc w:val="left"/>
      <w:pPr>
        <w:ind w:left="6363" w:hanging="283"/>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120" w:before="140" w:lineRule="auto"/>
    </w:pPr>
    <w:rPr>
      <w:rFonts w:ascii="Liberation Serif" w:cs="Liberation Serif" w:eastAsia="Liberation Serif" w:hAnsi="Liberation Serif"/>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0"/>
      <w:bidi w:val="0"/>
    </w:pPr>
    <w:rPr>
      <w:rFonts w:ascii="Liberation Serif" w:cs="Noto Sans Devanagari" w:eastAsia="DejaVu Sans" w:hAnsi="Liberation Serif"/>
      <w:color w:val="auto"/>
      <w:sz w:val="24"/>
      <w:szCs w:val="24"/>
      <w:lang w:bidi="hi-IN" w:eastAsia="zh-CN" w:val="en-US"/>
    </w:rPr>
  </w:style>
  <w:style w:type="paragraph" w:styleId="Heading3">
    <w:name w:val="Heading 3"/>
    <w:basedOn w:val="Heading"/>
    <w:next w:val="TextBody"/>
    <w:qFormat w:val="1"/>
    <w:pPr>
      <w:spacing w:after="120" w:before="140"/>
      <w:outlineLvl w:val="2"/>
    </w:pPr>
    <w:rPr>
      <w:rFonts w:ascii="Liberation Serif" w:cs="Noto Sans Devanagari" w:eastAsia="DejaVu Sans" w:hAnsi="Liberation Serif"/>
      <w:b w:val="1"/>
      <w:bCs w:val="1"/>
      <w:sz w:val="28"/>
      <w:szCs w:val="28"/>
    </w:rPr>
  </w:style>
  <w:style w:type="character" w:styleId="Emphasis">
    <w:name w:val="Emphasis"/>
    <w:qFormat w:val="1"/>
    <w:rPr>
      <w:i w:val="1"/>
      <w:iCs w:val="1"/>
    </w:rPr>
  </w:style>
  <w:style w:type="character" w:styleId="StrongEmphasis">
    <w:name w:val="Strong Emphasis"/>
    <w:qFormat w:val="1"/>
    <w:rPr>
      <w:b w:val="1"/>
      <w:bCs w:val="1"/>
    </w:rPr>
  </w:style>
  <w:style w:type="character" w:styleId="InternetLink">
    <w:name w:val="Hyperlink"/>
    <w:rPr>
      <w:color w:val="000080"/>
      <w:u w:val="single"/>
      <w:lang w:bidi="zxx" w:eastAsia="zxx" w:val="zxx"/>
    </w:rPr>
  </w:style>
  <w:style w:type="character" w:styleId="Bullets">
    <w:name w:val="Bullets"/>
    <w:qFormat w:val="1"/>
    <w:rPr>
      <w:rFonts w:ascii="OpenSymbol" w:cs="OpenSymbol" w:eastAsia="OpenSymbol" w:hAnsi="OpenSymbol"/>
    </w:rPr>
  </w:style>
  <w:style w:type="paragraph" w:styleId="Heading">
    <w:name w:val="Heading"/>
    <w:basedOn w:val="Normal"/>
    <w:next w:val="TextBody"/>
    <w:qFormat w:val="1"/>
    <w:pPr>
      <w:keepNext w:val="1"/>
      <w:spacing w:after="120" w:before="240"/>
    </w:pPr>
    <w:rPr>
      <w:rFonts w:ascii="Liberation Sans" w:cs="Noto Sans Devanagari" w:eastAsia="DejaVu Sans"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Noto Sans Devanagari"/>
    </w:rPr>
  </w:style>
  <w:style w:type="paragraph" w:styleId="Caption">
    <w:name w:val="Caption"/>
    <w:basedOn w:val="Normal"/>
    <w:qFormat w:val="1"/>
    <w:pPr>
      <w:suppressLineNumbers w:val="1"/>
      <w:spacing w:after="120" w:before="120"/>
    </w:pPr>
    <w:rPr>
      <w:rFonts w:cs="Noto Sans Devanagari"/>
      <w:i w:val="1"/>
      <w:iCs w:val="1"/>
      <w:sz w:val="24"/>
      <w:szCs w:val="24"/>
    </w:rPr>
  </w:style>
  <w:style w:type="paragraph" w:styleId="Index">
    <w:name w:val="Index"/>
    <w:basedOn w:val="Normal"/>
    <w:qFormat w:val="1"/>
    <w:pPr>
      <w:suppressLineNumbers w:val="1"/>
    </w:pPr>
    <w:rPr>
      <w:rFonts w:cs="Noto Sans Devanagari"/>
      <w:lang w:bidi="zxx" w:eastAsia="zxx" w:val="zxx"/>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ormattiva.it/uri-res/N2Ls?urn:nir:stato:legge:2003-01-16;3~art1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azzettaufficiale.it/eli/gu/2022/12/29/303/so/43/sg/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xB7sqaBaEWvddJoF5wQR76k7Ww==">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