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bookmark=id.30j0zll" w:id="0"/>
    <w:bookmarkEnd w:id="0"/>
    <w:bookmarkStart w:colFirst="0" w:colLast="0" w:name="bookmark=id.1fob9te" w:id="1"/>
    <w:bookmarkEnd w:id="1"/>
    <w:bookmarkStart w:colFirst="0" w:colLast="0" w:name="bookmark=id.gjdgxs" w:id="2"/>
    <w:bookmarkEnd w:id="2"/>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Pr>
        <w:drawing>
          <wp:inline distB="0" distT="0" distL="0" distR="0">
            <wp:extent cx="5715000" cy="847725"/>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15000" cy="847725"/>
                    </a:xfrm>
                    <a:prstGeom prst="rect"/>
                    <a:ln/>
                  </pic:spPr>
                </pic:pic>
              </a:graphicData>
            </a:graphic>
          </wp:inline>
        </w:drawing>
      </w:r>
      <w:bookmarkStart w:colFirst="0" w:colLast="0" w:name="bookmark=id.2et92p0" w:id="3"/>
      <w:bookmarkEnd w:id="3"/>
      <w:bookmarkStart w:colFirst="0" w:colLast="0" w:name="bookmark=id.3znysh7" w:id="4"/>
      <w:bookmarkEnd w:id="4"/>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Liberation Serif" w:cs="Liberation Serif" w:eastAsia="Liberation Serif" w:hAnsi="Liberation Serif"/>
          <w:b w:val="0"/>
          <w:i w:val="0"/>
          <w:smallCaps w:val="0"/>
          <w:strike w:val="0"/>
          <w:color w:val="000000"/>
          <w:sz w:val="24"/>
          <w:szCs w:val="24"/>
          <w:highlight w:val="yellow"/>
          <w:u w:val="none"/>
          <w:vertAlign w:val="baseline"/>
        </w:rPr>
      </w:pPr>
      <w:r w:rsidDel="00000000" w:rsidR="00000000" w:rsidRPr="00000000">
        <w:rPr>
          <w:rtl w:val="0"/>
        </w:rPr>
      </w:r>
    </w:p>
    <w:bookmarkStart w:colFirst="0" w:colLast="0" w:name="bookmark=id.3dy6vkm" w:id="5"/>
    <w:bookmarkEnd w:id="5"/>
    <w:bookmarkStart w:colFirst="0" w:colLast="0" w:name="bookmark=id.4d34og8" w:id="6"/>
    <w:bookmarkEnd w:id="6"/>
    <w:bookmarkStart w:colFirst="0" w:colLast="0" w:name="bookmark=id.1t3h5sf" w:id="7"/>
    <w:bookmarkEnd w:id="7"/>
    <w:p w:rsidR="00000000" w:rsidDel="00000000" w:rsidP="00000000" w:rsidRDefault="00000000" w:rsidRPr="00000000" w14:paraId="00000006">
      <w:pPr>
        <w:pStyle w:val="Heading3"/>
        <w:spacing w:after="0" w:before="0" w:lineRule="auto"/>
        <w:ind w:left="0" w:right="0" w:firstLine="0"/>
        <w:jc w:val="center"/>
        <w:rPr>
          <w:highlight w:val="white"/>
        </w:rPr>
      </w:pPr>
      <w:r w:rsidDel="00000000" w:rsidR="00000000" w:rsidRPr="00000000">
        <w:rPr>
          <w:highlight w:val="white"/>
          <w:rtl w:val="0"/>
        </w:rPr>
        <w:t xml:space="preserve">Istituto Comprensivo "E. Solvay/D. Alighieri"</w:t>
      </w:r>
    </w:p>
    <w:bookmarkStart w:colFirst="0" w:colLast="0" w:name="bookmark=id.2s8eyo1" w:id="8"/>
    <w:bookmarkEnd w:id="8"/>
    <w:p w:rsidR="00000000" w:rsidDel="00000000" w:rsidP="00000000" w:rsidRDefault="00000000" w:rsidRPr="00000000" w14:paraId="00000007">
      <w:pPr>
        <w:pStyle w:val="Heading3"/>
        <w:spacing w:after="0" w:before="0" w:lineRule="auto"/>
        <w:jc w:val="center"/>
        <w:rPr>
          <w:highlight w:val="white"/>
        </w:rPr>
      </w:pPr>
      <w:r w:rsidDel="00000000" w:rsidR="00000000" w:rsidRPr="00000000">
        <w:rPr>
          <w:sz w:val="27"/>
          <w:szCs w:val="27"/>
          <w:highlight w:val="white"/>
          <w:rtl w:val="0"/>
        </w:rPr>
        <w:t xml:space="preserve">Via Ernesto Solvay, 31, </w:t>
      </w:r>
      <w:bookmarkStart w:colFirst="0" w:colLast="0" w:name="bookmark=id.17dp8vu" w:id="9"/>
      <w:bookmarkEnd w:id="9"/>
      <w:r w:rsidDel="00000000" w:rsidR="00000000" w:rsidRPr="00000000">
        <w:rPr>
          <w:sz w:val="27"/>
          <w:szCs w:val="27"/>
          <w:highlight w:val="white"/>
          <w:rtl w:val="0"/>
        </w:rPr>
        <w:t xml:space="preserve">57016 </w:t>
      </w:r>
      <w:bookmarkStart w:colFirst="0" w:colLast="0" w:name="bookmark=id.3rdcrjn" w:id="10"/>
      <w:bookmarkEnd w:id="10"/>
      <w:r w:rsidDel="00000000" w:rsidR="00000000" w:rsidRPr="00000000">
        <w:rPr>
          <w:sz w:val="27"/>
          <w:szCs w:val="27"/>
          <w:highlight w:val="white"/>
          <w:rtl w:val="0"/>
        </w:rPr>
        <w:t xml:space="preserve">Rosignano Marittimo (</w:t>
      </w:r>
      <w:bookmarkStart w:colFirst="0" w:colLast="0" w:name="bookmark=id.26in1rg" w:id="11"/>
      <w:bookmarkEnd w:id="11"/>
      <w:r w:rsidDel="00000000" w:rsidR="00000000" w:rsidRPr="00000000">
        <w:rPr>
          <w:sz w:val="27"/>
          <w:szCs w:val="27"/>
          <w:highlight w:val="white"/>
          <w:rtl w:val="0"/>
        </w:rPr>
        <w:t xml:space="preserve">LI) - Tel.: </w:t>
      </w:r>
      <w:bookmarkStart w:colFirst="0" w:colLast="0" w:name="bookmark=id.lnxbz9" w:id="12"/>
      <w:bookmarkEnd w:id="12"/>
      <w:r w:rsidDel="00000000" w:rsidR="00000000" w:rsidRPr="00000000">
        <w:rPr>
          <w:sz w:val="27"/>
          <w:szCs w:val="27"/>
          <w:highlight w:val="white"/>
          <w:rtl w:val="0"/>
        </w:rPr>
        <w:t xml:space="preserve">0586764609</w:t>
      </w:r>
      <w:r w:rsidDel="00000000" w:rsidR="00000000" w:rsidRPr="00000000">
        <w:rPr>
          <w:highlight w:val="white"/>
          <w:rtl w:val="0"/>
        </w:rPr>
        <w:br w:type="textWrapping"/>
      </w:r>
      <w:r w:rsidDel="00000000" w:rsidR="00000000" w:rsidRPr="00000000">
        <w:rPr>
          <w:sz w:val="27"/>
          <w:szCs w:val="27"/>
          <w:highlight w:val="white"/>
          <w:rtl w:val="0"/>
        </w:rPr>
        <w:t xml:space="preserve">E-mail: </w:t>
      </w:r>
      <w:bookmarkStart w:colFirst="0" w:colLast="0" w:name="bookmark=id.35nkun2" w:id="13"/>
      <w:bookmarkEnd w:id="13"/>
      <w:r w:rsidDel="00000000" w:rsidR="00000000" w:rsidRPr="00000000">
        <w:rPr>
          <w:sz w:val="27"/>
          <w:szCs w:val="27"/>
          <w:highlight w:val="white"/>
          <w:rtl w:val="0"/>
        </w:rPr>
        <w:t xml:space="preserve">LIIC818003@istruzione.it - Pec: </w:t>
      </w:r>
      <w:bookmarkStart w:colFirst="0" w:colLast="0" w:name="bookmark=id.1ksv4uv" w:id="14"/>
      <w:bookmarkEnd w:id="14"/>
      <w:r w:rsidDel="00000000" w:rsidR="00000000" w:rsidRPr="00000000">
        <w:rPr>
          <w:sz w:val="27"/>
          <w:szCs w:val="27"/>
          <w:highlight w:val="white"/>
          <w:rtl w:val="0"/>
        </w:rPr>
        <w:t xml:space="preserve">LIIC818003@pec.istruzione.it</w:t>
        <w:br w:type="textWrapping"/>
        <w:t xml:space="preserve">C.F.: </w:t>
      </w:r>
      <w:bookmarkStart w:colFirst="0" w:colLast="0" w:name="bookmark=id.44sinio" w:id="15"/>
      <w:bookmarkEnd w:id="15"/>
      <w:r w:rsidDel="00000000" w:rsidR="00000000" w:rsidRPr="00000000">
        <w:rPr>
          <w:sz w:val="27"/>
          <w:szCs w:val="27"/>
          <w:highlight w:val="white"/>
          <w:rtl w:val="0"/>
        </w:rPr>
        <w:t xml:space="preserve">92137870496 - C.M.: </w:t>
      </w:r>
      <w:bookmarkStart w:colFirst="0" w:colLast="0" w:name="bookmark=id.2jxsxqh" w:id="16"/>
      <w:bookmarkEnd w:id="16"/>
      <w:r w:rsidDel="00000000" w:rsidR="00000000" w:rsidRPr="00000000">
        <w:rPr>
          <w:sz w:val="27"/>
          <w:szCs w:val="27"/>
          <w:highlight w:val="white"/>
          <w:rtl w:val="0"/>
        </w:rPr>
        <w:t xml:space="preserve">LIIC818003</w:t>
      </w:r>
      <w:r w:rsidDel="00000000" w:rsidR="00000000" w:rsidRPr="00000000">
        <w:rPr>
          <w:rtl w:val="0"/>
        </w:rPr>
      </w:r>
    </w:p>
    <w:bookmarkStart w:colFirst="0" w:colLast="0" w:name="bookmark=id.z337ya" w:id="17"/>
    <w:bookmarkEnd w:id="17"/>
    <w:bookmarkStart w:colFirst="0" w:colLast="0" w:name="bookmark=id.3j2qqm3" w:id="18"/>
    <w:bookmarkEnd w:id="18"/>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br w:type="textWrapping"/>
        <w:t xml:space="preserve">Protocollo come da segnatura </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1y810tw" w:id="19"/>
    <w:bookmarkEnd w:id="19"/>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Rosignano Marittimo, __ - __ - ____</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2xcytpi" w:id="20"/>
    <w:bookmarkEnd w:id="20"/>
    <w:bookmarkStart w:colFirst="0" w:colLast="0" w:name="bookmark=id.4i7ojhp" w:id="21"/>
    <w:bookmarkEnd w:id="21"/>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Oggetto: Lettera di Incarico al Docente interno - Procedura di Selezione di Docenti interni all’Istituto Scolastico “</w:t>
      </w:r>
      <w:bookmarkStart w:colFirst="0" w:colLast="0" w:name="bookmark=id.1ci93xb" w:id="22"/>
      <w:bookmarkEnd w:id="22"/>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Istituto Comprensivo "E. Solvay/D. Alighieri"” per la realizzazione di n. </w:t>
      </w:r>
      <w:bookmarkStart w:colFirst="0" w:colLast="0" w:name="bookmark=id.3whwml4" w:id="23"/>
      <w:bookmarkEnd w:id="23"/>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2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“Laboratori di formazione sul campo”</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 nell’ambito delle Azioni di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“Formazione del personale scolastico per la transizione digitale”.</w:t>
      </w:r>
      <w:r w:rsidDel="00000000" w:rsidR="00000000" w:rsidRPr="00000000">
        <w:rPr>
          <w:rtl w:val="0"/>
        </w:rPr>
      </w:r>
    </w:p>
    <w:bookmarkStart w:colFirst="0" w:colLast="0" w:name="bookmark=id.qsh70q" w:id="24"/>
    <w:bookmarkEnd w:id="24"/>
    <w:bookmarkStart w:colFirst="0" w:colLast="0" w:name="bookmark=id.2bn6wsx" w:id="25"/>
    <w:bookmarkEnd w:id="25"/>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Avviso Pubblico </w:t>
      </w:r>
      <w:bookmarkStart w:colFirst="0" w:colLast="0" w:name="bookmark=id.3as4poj" w:id="26"/>
      <w:bookmarkEnd w:id="26"/>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Next Generation EU</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 CUP: </w:t>
      </w:r>
      <w:bookmarkStart w:colFirst="0" w:colLast="0" w:name="bookmark=id.1pxezwc" w:id="27"/>
      <w:bookmarkEnd w:id="27"/>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G34D23007330006</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t xml:space="preserve">Titolo progetto: </w:t>
      </w:r>
      <w:bookmarkStart w:colFirst="0" w:colLast="0" w:name="bookmark=id.49x2ik5" w:id="28"/>
      <w:bookmarkEnd w:id="28"/>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A scuola passa il Futuro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Codice progetto: </w:t>
      </w:r>
      <w:bookmarkStart w:colFirst="0" w:colLast="0" w:name="bookmark=id.2p2csry" w:id="29"/>
      <w:bookmarkEnd w:id="29"/>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M4C1I2.1-2023-1222-P-43294</w:t>
      </w:r>
    </w:p>
    <w:bookmarkStart w:colFirst="0" w:colLast="0" w:name="bookmark=id.147n2zr" w:id="30"/>
    <w:bookmarkEnd w:id="30"/>
    <w:bookmarkStart w:colFirst="0" w:colLast="0" w:name="bookmark=id.3o7alnk" w:id="31"/>
    <w:bookmarkEnd w:id="31"/>
    <w:p w:rsidR="00000000" w:rsidDel="00000000" w:rsidP="00000000" w:rsidRDefault="00000000" w:rsidRPr="00000000" w14:paraId="00000010">
      <w:pPr>
        <w:pStyle w:val="Heading3"/>
        <w:spacing w:after="0" w:before="0" w:lineRule="auto"/>
        <w:ind w:left="0" w:right="0" w:firstLine="0"/>
        <w:jc w:val="center"/>
        <w:rPr/>
      </w:pPr>
      <w:r w:rsidDel="00000000" w:rsidR="00000000" w:rsidRPr="00000000">
        <w:rPr>
          <w:highlight w:val="white"/>
          <w:rtl w:val="0"/>
        </w:rPr>
        <w:br w:type="textWrapping"/>
      </w:r>
      <w:r w:rsidDel="00000000" w:rsidR="00000000" w:rsidRPr="00000000">
        <w:rPr>
          <w:b w:val="1"/>
          <w:highlight w:val="white"/>
          <w:rtl w:val="0"/>
        </w:rPr>
        <w:t xml:space="preserve">IL DIRIGENTE SCOLASTICO</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ihv636" w:id="32"/>
    <w:bookmarkEnd w:id="32"/>
    <w:bookmarkStart w:colFirst="0" w:colLast="0" w:name="bookmark=id.23ckvvd" w:id="33"/>
    <w:bookmarkEnd w:id="33"/>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R.D. 18 novembre 1923, n. 2440, concernente l’amministrazione del Patrimonio e la Contabilità Generale dello Stato ed il relativo regolamento approvato con R.D. 23 maggio 1924, n. 827 e ss.mm.ii.;</w:t>
      </w:r>
      <w:r w:rsidDel="00000000" w:rsidR="00000000" w:rsidRPr="00000000">
        <w:rPr>
          <w:rtl w:val="0"/>
        </w:rPr>
      </w:r>
    </w:p>
    <w:bookmarkStart w:colFirst="0" w:colLast="0" w:name="bookmark=id.1hmsyys" w:id="34"/>
    <w:bookmarkEnd w:id="34"/>
    <w:bookmarkStart w:colFirst="0" w:colLast="0" w:name="bookmark=id.32hioqz" w:id="35"/>
    <w:bookmarkEnd w:id="35"/>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D.I. n. 129/2018 "Regolamento recante istruzioni generali sulla gestione amministrativo-contabile delle istituzioni scolastiche, ai sensi dell’articolo 1, comma 143, della Legge 13 luglio 2015, n. 107";</w:t>
      </w:r>
      <w:r w:rsidDel="00000000" w:rsidR="00000000" w:rsidRPr="00000000">
        <w:rPr>
          <w:rtl w:val="0"/>
        </w:rPr>
      </w:r>
    </w:p>
    <w:bookmarkStart w:colFirst="0" w:colLast="0" w:name="bookmark=id.2grqrue" w:id="36"/>
    <w:bookmarkEnd w:id="36"/>
    <w:bookmarkStart w:colFirst="0" w:colLast="0" w:name="bookmark=id.41mghml" w:id="37"/>
    <w:bookmarkEnd w:id="37"/>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Decreto Legislativo 30 marzo 2001, n. 165 recante “Norme generali sull’ordinamento del lavoro alle dipendenze delle Amministrazioni Pubbliche” e ss.mm.ii.;</w:t>
      </w:r>
      <w:r w:rsidDel="00000000" w:rsidR="00000000" w:rsidRPr="00000000">
        <w:rPr>
          <w:rtl w:val="0"/>
        </w:rPr>
      </w:r>
    </w:p>
    <w:bookmarkStart w:colFirst="0" w:colLast="0" w:name="bookmark=id.3fwokq0" w:id="38"/>
    <w:bookmarkEnd w:id="38"/>
    <w:bookmarkStart w:colFirst="0" w:colLast="0" w:name="bookmark=id.vx1227" w:id="39"/>
    <w:bookmarkEnd w:id="39"/>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Legge 7 agosto 1990, n. 241 “Nuove norme in materia di procedimento amministrativo e di diritto di accesso ai documenti amministrativi” e ss.mm.ii.;</w:t>
      </w:r>
      <w:r w:rsidDel="00000000" w:rsidR="00000000" w:rsidRPr="00000000">
        <w:rPr>
          <w:rtl w:val="0"/>
        </w:rPr>
      </w:r>
    </w:p>
    <w:bookmarkStart w:colFirst="0" w:colLast="0" w:name="bookmark=id.1v1yuxt" w:id="40"/>
    <w:bookmarkEnd w:id="40"/>
    <w:bookmarkStart w:colFirst="0" w:colLast="0" w:name="bookmark=id.4f1mdlm" w:id="41"/>
    <w:bookmarkEnd w:id="41"/>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Legge 15 marzo 1997 n. 59, concernente “Delega al Governo per il conferimento di funzioni e compiti alle regioni ed enti locali, per la riforma della Pubblica Amministrazione e per la semplificazione amministrativa";</w:t>
      </w:r>
      <w:r w:rsidDel="00000000" w:rsidR="00000000" w:rsidRPr="00000000">
        <w:rPr>
          <w:rtl w:val="0"/>
        </w:rPr>
      </w:r>
    </w:p>
    <w:bookmarkStart w:colFirst="0" w:colLast="0" w:name="bookmark=id.19c6y18" w:id="42"/>
    <w:bookmarkEnd w:id="42"/>
    <w:bookmarkStart w:colFirst="0" w:colLast="0" w:name="bookmark=id.2u6wntf" w:id="43"/>
    <w:bookmarkEnd w:id="43"/>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D.P.R. 8 marzo 1999, n. 275, concernente il Regolamento recante norme in materia di autonomia delle Istituzioni Scolastiche, ai sensi dell'art. 21 della Legge 15 marzo 1997, n. 59;</w:t>
      </w:r>
      <w:r w:rsidDel="00000000" w:rsidR="00000000" w:rsidRPr="00000000">
        <w:rPr>
          <w:rtl w:val="0"/>
        </w:rPr>
      </w:r>
    </w:p>
    <w:bookmarkStart w:colFirst="0" w:colLast="0" w:name="bookmark=id.28h4qwu" w:id="44"/>
    <w:bookmarkEnd w:id="44"/>
    <w:bookmarkStart w:colFirst="0" w:colLast="0" w:name="bookmark=id.3tbugp1" w:id="45"/>
    <w:bookmarkEnd w:id="45"/>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Legge 13 luglio 2015 n. 107, concernente “Riforma del sistema nazionale di istruzione e formazione e delega per il riordino delle disposizioni legislative vigenti”;</w:t>
      </w:r>
      <w:r w:rsidDel="00000000" w:rsidR="00000000" w:rsidRPr="00000000">
        <w:rPr>
          <w:rtl w:val="0"/>
        </w:rPr>
      </w:r>
    </w:p>
    <w:bookmarkStart w:colFirst="0" w:colLast="0" w:name="bookmark=id.37m2jsg" w:id="46"/>
    <w:bookmarkEnd w:id="46"/>
    <w:bookmarkStart w:colFirst="0" w:colLast="0" w:name="bookmark=id.nmf14n" w:id="47"/>
    <w:bookmarkEnd w:id="47"/>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 Legislativo recante il Codice dei Contratti Pubblici n. 36 del 31/03/2023, approvato dal Consiglio dei Ministri nella seduta del 28/03/2023, attuativo dell’articolo 1 della legge 21 giugno 2022, n. 78;</w:t>
      </w:r>
      <w:r w:rsidDel="00000000" w:rsidR="00000000" w:rsidRPr="00000000">
        <w:rPr>
          <w:rtl w:val="0"/>
        </w:rPr>
      </w:r>
    </w:p>
    <w:bookmarkStart w:colFirst="0" w:colLast="0" w:name="bookmark=id.1mrcu09" w:id="48"/>
    <w:bookmarkEnd w:id="48"/>
    <w:bookmarkStart w:colFirst="0" w:colLast="0" w:name="bookmark=id.46r0co2" w:id="49"/>
    <w:bookmarkEnd w:id="49"/>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D.L. 16 luglio 2020, n. 76 recante Misure urgenti per la semplificazione e l'innovazione digitale (GU Serie Generale n.178 del 16-07-2020 - Suppl. Ordinario n. 24);</w:t>
      </w: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Legge 30 dicembre 2020, n. 178, recante “Bilancio di previsione dello Stato per l’anno finanziario 2021 e bilancio pluriennale per il triennio 2021-2023”;</w:t>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Legge 29 dicembre 2022, n. 197, recante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Bilancio di previsione dello Stato per l'anno finanziario 2023 e bilancio pluriennale per il triennio 2023-2025</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w:t>
      </w:r>
      <w:hyperlink r:id="rId8">
        <w:r w:rsidDel="00000000" w:rsidR="00000000" w:rsidRPr="00000000">
          <w:rPr>
            <w:rFonts w:ascii="Liberation Serif" w:cs="Liberation Serif" w:eastAsia="Liberation Serif" w:hAnsi="Liberation Serif"/>
            <w:b w:val="0"/>
            <w:i w:val="0"/>
            <w:smallCaps w:val="0"/>
            <w:strike w:val="0"/>
            <w:color w:val="000000"/>
            <w:sz w:val="24"/>
            <w:szCs w:val="24"/>
            <w:highlight w:val="white"/>
            <w:u w:val="single"/>
            <w:vertAlign w:val="baseline"/>
            <w:rtl w:val="0"/>
          </w:rPr>
          <w:t xml:space="preserve">(GU Serie Generale n.303 del 29-12-2022 - Suppl. Ordinario n. 43)</w:t>
        </w:r>
      </w:hyperlink>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l’art. 11 della Legge 16 gennaio 2003, n. 3, recante “Disposizioni ordinamentali in materia di pubblica amministrazione”, in forza del quale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ogni nuovo progetto di investimento pubblico, nonché ogni progetto in corso di attuazione alla predetta data, è dotato di un "Codice unico di progetto", che le competenti amministrazioni o i soggetti aggiudicatori richiedono in via telematica secondo la procedura definita dal CIPE”;</w:t>
      </w: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l’art. 3 della Legge 13 agosto 2010, n. 136, recante il “Piano straordinario contro le mafie, nonché delega al Governo in materia di normativa antimafia”, in forza del quale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Ai fini della tracciabilità dei flussi finanziari, gli strumenti di pagamento devono riportare, in relazione a ciascuna transazione posta in essere dalla stazione appaltante e dagli altri soggetti di cui al comma 1, il codice identificativo di gara (CIG), attribuito dall'Autorità di vigilanza sui contratti pubblici di lavori, servizi e forniture su richiesta della stazione appaltante e, ove obbligatorio ai sensi dell'</w:t>
      </w:r>
      <w:hyperlink r:id="rId9">
        <w:r w:rsidDel="00000000" w:rsidR="00000000" w:rsidRPr="00000000">
          <w:rPr>
            <w:rFonts w:ascii="Liberation Serif" w:cs="Liberation Serif" w:eastAsia="Liberation Serif" w:hAnsi="Liberation Serif"/>
            <w:b w:val="0"/>
            <w:i w:val="1"/>
            <w:smallCaps w:val="0"/>
            <w:strike w:val="0"/>
            <w:color w:val="000000"/>
            <w:sz w:val="24"/>
            <w:szCs w:val="24"/>
            <w:highlight w:val="white"/>
            <w:u w:val="single"/>
            <w:vertAlign w:val="baseline"/>
            <w:rtl w:val="0"/>
          </w:rPr>
          <w:t xml:space="preserve">articolo 11 della legge 16 gennaio 2003, n. 3</w:t>
        </w:r>
      </w:hyperlink>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 il codice unico di progetto (CUP)</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Determinazione ANAC n. 4 del 7 luglio 2011, recante le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Linee guida sulla tracciabilita’ dei flussi finanziari ai sensi dell’articolo 3 della legge 13 agosto 2010, n. 136</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come aggiornata dalla delibera ANAC n. 556/2017 e da ultimo modificata dalla delibera ANAC n. 371/2022;</w:t>
      </w: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delibera del CIPE n. 63 del 26 novembre 2020 che introduce la normativa attuativa della riforma del CUP;</w:t>
      </w:r>
      <w:r w:rsidDel="00000000" w:rsidR="00000000" w:rsidRPr="00000000">
        <w:rPr>
          <w:rtl w:val="0"/>
        </w:rPr>
      </w:r>
    </w:p>
    <w:bookmarkStart w:colFirst="0" w:colLast="0" w:name="bookmark=id.111kx3o" w:id="50"/>
    <w:bookmarkEnd w:id="50"/>
    <w:bookmarkStart w:colFirst="0" w:colLast="0" w:name="bookmark=id.2lwamvv" w:id="51"/>
    <w:bookmarkEnd w:id="51"/>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Decreto-Legge 6 maggio 2021, n. 59, convertito, con modificazioni, dalla legge 1° luglio 2021, n. 101, recante “Misure urgenti relative al Fondo complementare al Piano nazionale di ripresa e resilienza e altre misure urgenti per gli investimenti”;</w:t>
      </w:r>
      <w:r w:rsidDel="00000000" w:rsidR="00000000" w:rsidRPr="00000000">
        <w:rPr>
          <w:rtl w:val="0"/>
        </w:rPr>
      </w:r>
    </w:p>
    <w:bookmarkStart w:colFirst="0" w:colLast="0" w:name="bookmark=id.206ipza" w:id="52"/>
    <w:bookmarkEnd w:id="52"/>
    <w:bookmarkStart w:colFirst="0" w:colLast="0" w:name="bookmark=id.3l18frh" w:id="53"/>
    <w:bookmarkEnd w:id="53"/>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 Legge 9 giugno 2021, n. 80, convertito nella legge 6 agosto 2021, n. 113, recante: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Misure urgenti per il rafforzamento della capacità amministrativa delle pubbliche amministrazioni funzionale all'attuazione del Piano nazionale di ripresa e resilienza (PNRR) e per l'efficienza della giustizia» che, al secondo periodo del comma 1 dell’articolo 7 prevede che «Con decreto del Presidente del Consiglio dei ministri, su proposta del Ministro dell'economia e delle finanze, si provvede alla individuazione delle amministrazioni di cui all'articolo 8, comma 1, del decreto-legge 31 maggio 2021, n. 77</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w:t>
      </w:r>
      <w:r w:rsidDel="00000000" w:rsidR="00000000" w:rsidRPr="00000000">
        <w:rPr>
          <w:rtl w:val="0"/>
        </w:rPr>
      </w:r>
    </w:p>
    <w:bookmarkStart w:colFirst="0" w:colLast="0" w:name="bookmark=id.2zbgiuw" w:id="54"/>
    <w:bookmarkEnd w:id="54"/>
    <w:bookmarkStart w:colFirst="0" w:colLast="0" w:name="bookmark=id.4k668n3" w:id="55"/>
    <w:bookmarkEnd w:id="55"/>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Decreto-legge del 31 maggio 2021, n. 77, convertito nella legge 29 luglio 2021, n. 108, recante: «Governance del Piano nazionale di ripresa e resilienza e prime misure di rafforzamento delle strutture amministrative e di accelerazione e snellimento delle procedure»;</w:t>
      </w:r>
      <w:r w:rsidDel="00000000" w:rsidR="00000000" w:rsidRPr="00000000">
        <w:rPr>
          <w:rtl w:val="0"/>
        </w:rPr>
      </w:r>
    </w:p>
    <w:bookmarkStart w:colFirst="0" w:colLast="0" w:name="bookmark=id.3ygebqi" w:id="56"/>
    <w:bookmarkEnd w:id="56"/>
    <w:bookmarkStart w:colFirst="0" w:colLast="0" w:name="bookmark=id.1egqt2p" w:id="57"/>
    <w:bookmarkEnd w:id="57"/>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Decreto-Legge 6 novembre 2021, n. 152, convertito, con modificazioni, dalla legge 29 dicembre 2021, n. 233, recante “Disposizioni urgenti per l’attuazione del Piano nazionale di ripresa e resilienza (PNRR) e per la prevenzione delle infiltrazioni mafiose”;</w:t>
      </w:r>
      <w:r w:rsidDel="00000000" w:rsidR="00000000" w:rsidRPr="00000000">
        <w:rPr>
          <w:rtl w:val="0"/>
        </w:rPr>
      </w:r>
    </w:p>
    <w:bookmarkStart w:colFirst="0" w:colLast="0" w:name="bookmark=id.sqyw64" w:id="58"/>
    <w:bookmarkEnd w:id="58"/>
    <w:bookmarkStart w:colFirst="0" w:colLast="0" w:name="bookmark=id.2dlolyb" w:id="59"/>
    <w:bookmarkEnd w:id="59"/>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Decreto Legge 30 aprile 2022, n. 36, convertito, con modificazioni, dalla legge 29 giugno 2022, n. 79, recante “Ulteriori misure urgenti per l’attuazione del Piano nazionale di ripresa e resilienza” e, in particolare, l’articolo 47;</w:t>
      </w:r>
      <w:r w:rsidDel="00000000" w:rsidR="00000000" w:rsidRPr="00000000">
        <w:rPr>
          <w:rtl w:val="0"/>
        </w:rPr>
      </w:r>
    </w:p>
    <w:bookmarkStart w:colFirst="0" w:colLast="0" w:name="bookmark=id.3cqmetx" w:id="60"/>
    <w:bookmarkEnd w:id="60"/>
    <w:bookmarkStart w:colFirst="0" w:colLast="0" w:name="bookmark=id.1rvwp1q" w:id="61"/>
    <w:bookmarkEnd w:id="61"/>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Decreto-Legge 11 novembre 2022, n. 173, recante “Disposizioni urgenti in materia di riordino delle attribuzioni dei Ministeri”;</w:t>
      </w:r>
      <w:r w:rsidDel="00000000" w:rsidR="00000000" w:rsidRPr="00000000">
        <w:rPr>
          <w:rtl w:val="0"/>
        </w:rPr>
      </w:r>
    </w:p>
    <w:bookmarkStart w:colFirst="0" w:colLast="0" w:name="bookmark=id.2r0uhxc" w:id="62"/>
    <w:bookmarkEnd w:id="62"/>
    <w:bookmarkStart w:colFirst="0" w:colLast="0" w:name="bookmark=id.4bvk7pj" w:id="63"/>
    <w:bookmarkEnd w:id="63"/>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Regolamento (UE) 2018/1046 del 18 luglio 2018, che stabilisce le regole finanziarie applicabili al bilancio generale dell’Unione, che modifica i regolamenti (UE) n. 1296/2013, n. 1301/2013, n. 1303/2013, n. 1304/2013, n. 1309/2013, n. 1316/2013, n. 223/2014, n. 283/2014 e la decisione n. 541/2014/UE e abroga il regolamento (UE, Euratom) n. 966/2012;</w:t>
      </w:r>
      <w:r w:rsidDel="00000000" w:rsidR="00000000" w:rsidRPr="00000000">
        <w:rPr>
          <w:rtl w:val="0"/>
        </w:rPr>
      </w:r>
    </w:p>
    <w:bookmarkStart w:colFirst="0" w:colLast="0" w:name="bookmark=id.1664s55" w:id="64"/>
    <w:bookmarkEnd w:id="64"/>
    <w:bookmarkStart w:colFirst="0" w:colLast="0" w:name="bookmark=id.3q5sasy" w:id="65"/>
    <w:bookmarkEnd w:id="65"/>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Regolamento (UE) 2021/241 del Parlamento europeo e del Consiglio, del 12 febbraio 2021 che istituisce il Dispositivo per la ripresa e per la resilienza;</w:t>
      </w:r>
      <w:r w:rsidDel="00000000" w:rsidR="00000000" w:rsidRPr="00000000">
        <w:rPr>
          <w:rtl w:val="0"/>
        </w:rPr>
      </w:r>
    </w:p>
    <w:bookmarkStart w:colFirst="0" w:colLast="0" w:name="bookmark=id.kgcv8k" w:id="66"/>
    <w:bookmarkEnd w:id="66"/>
    <w:bookmarkStart w:colFirst="0" w:colLast="0" w:name="bookmark=id.25b2l0r" w:id="67"/>
    <w:bookmarkEnd w:id="67"/>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Regolamento delegato (UE) 2021/2105 della Commissione del 28 settembre 2021, che integra il regolamento (UE) 2021/241 del Parlamento europeo e del Consiglio, che istituisce il dispositivo per la ripresa e la resilienza, definendo una metodologia per la rendicontazione della spesa sociale;</w:t>
      </w:r>
      <w:r w:rsidDel="00000000" w:rsidR="00000000" w:rsidRPr="00000000">
        <w:rPr>
          <w:rtl w:val="0"/>
        </w:rPr>
      </w:r>
    </w:p>
    <w:bookmarkStart w:colFirst="0" w:colLast="0" w:name="bookmark=id.1jlao46" w:id="68"/>
    <w:bookmarkEnd w:id="68"/>
    <w:bookmarkStart w:colFirst="0" w:colLast="0" w:name="bookmark=id.34g0dwd" w:id="69"/>
    <w:bookmarkEnd w:id="69"/>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Piano nazionale di ripresa e resilienza (PNRR), la cui valutazione positiva è stata approvata con Decisione del Consiglio ECOFIN del 13 luglio 2021 e notificata all’Italia dal Segretariato generale del Consiglio con nota LT161/21, del 14 luglio 2021;</w:t>
      </w:r>
      <w:r w:rsidDel="00000000" w:rsidR="00000000" w:rsidRPr="00000000">
        <w:rPr>
          <w:rtl w:val="0"/>
        </w:rPr>
      </w:r>
    </w:p>
    <w:bookmarkStart w:colFirst="0" w:colLast="0" w:name="bookmark=id.2iq8gzs" w:id="70"/>
    <w:bookmarkEnd w:id="70"/>
    <w:bookmarkStart w:colFirst="0" w:colLast="0" w:name="bookmark=id.43ky6rz" w:id="71"/>
    <w:bookmarkEnd w:id="71"/>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VISTI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 principi trasversali previsti dal PNRR, quali, tra l’altro, il principio del contributo all’obiettivo climatico e digitale (c.d. tagging), il principio di parità di genere e l’obbligo di protezione e valorizzazione dei giovani;</w:t>
      </w:r>
      <w:r w:rsidDel="00000000" w:rsidR="00000000" w:rsidRPr="00000000">
        <w:rPr>
          <w:rtl w:val="0"/>
        </w:rPr>
      </w:r>
    </w:p>
    <w:bookmarkStart w:colFirst="0" w:colLast="0" w:name="bookmark=id.1x0gk37" w:id="72"/>
    <w:bookmarkEnd w:id="72"/>
    <w:bookmarkStart w:colFirst="0" w:colLast="0" w:name="bookmark=id.xvir7l" w:id="73"/>
    <w:bookmarkEnd w:id="73"/>
    <w:bookmarkStart w:colFirst="0" w:colLast="0" w:name="bookmark=id.3hv69ve" w:id="74"/>
    <w:bookmarkEnd w:id="74"/>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gli obblighi di assicurare il conseguimento di target e milestone e degli obiettivi finanziari stabiliti nel PNRR;</w:t>
      </w:r>
      <w:r w:rsidDel="00000000" w:rsidR="00000000" w:rsidRPr="00000000">
        <w:rPr>
          <w:rtl w:val="0"/>
        </w:rPr>
      </w:r>
    </w:p>
    <w:bookmarkStart w:colFirst="0" w:colLast="0" w:name="bookmark=id.2w5ecyt" w:id="75"/>
    <w:bookmarkEnd w:id="75"/>
    <w:bookmarkStart w:colFirst="0" w:colLast="0" w:name="bookmark=id.4h042r0" w:id="76"/>
    <w:bookmarkEnd w:id="76"/>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 del Presidente del Consiglio dei Ministri del 30 settembre 2020 n. 166, recante “Regolamento concernente l’organizzazione del Ministero dell’Istruzione”</w:t>
      </w:r>
      <w:r w:rsidDel="00000000" w:rsidR="00000000" w:rsidRPr="00000000">
        <w:rPr>
          <w:rtl w:val="0"/>
        </w:rPr>
      </w:r>
    </w:p>
    <w:bookmarkStart w:colFirst="0" w:colLast="0" w:name="bookmark=id.3vac5uf" w:id="77"/>
    <w:bookmarkEnd w:id="77"/>
    <w:bookmarkStart w:colFirst="0" w:colLast="0" w:name="bookmark=id.1baon6m" w:id="78"/>
    <w:bookmarkEnd w:id="78"/>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 del Ministro dell’economia e delle finanze 6 agosto 2021 e successive modificazioni e integrazioni, con il quale sono state assegnate le risorse in favore di ciascuna Amministrazione titolare degli interventi PNRR e corrispondenti milestone e target;</w:t>
      </w:r>
      <w:r w:rsidDel="00000000" w:rsidR="00000000" w:rsidRPr="00000000">
        <w:rPr>
          <w:rtl w:val="0"/>
        </w:rPr>
      </w:r>
    </w:p>
    <w:bookmarkStart w:colFirst="0" w:colLast="0" w:name="bookmark=id.pkwqa1" w:id="79"/>
    <w:bookmarkEnd w:id="79"/>
    <w:bookmarkStart w:colFirst="0" w:colLast="0" w:name="bookmark=id.2afmg28" w:id="80"/>
    <w:bookmarkEnd w:id="80"/>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 del Ministro dell’istruzione, di concerto con il Ministro dell’economia e delle finanze, 21 settembre 2021, n. 284, di istituzione di una Unità di missione di livello dirigenziale generale per l’attuazione degli interventi del Piano nazionale di ripresa e resilienza a titolarità del Ministero dell’istruzione;</w:t>
      </w:r>
      <w:r w:rsidDel="00000000" w:rsidR="00000000" w:rsidRPr="00000000">
        <w:rPr>
          <w:rtl w:val="0"/>
        </w:rPr>
      </w:r>
    </w:p>
    <w:bookmarkStart w:colFirst="0" w:colLast="0" w:name="bookmark=id.1opuj5n" w:id="81"/>
    <w:bookmarkEnd w:id="81"/>
    <w:bookmarkStart w:colFirst="0" w:colLast="0" w:name="bookmark=id.39kk8xu" w:id="82"/>
    <w:bookmarkEnd w:id="82"/>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 del Ministro dell’istruzione 30 novembre 2021, n. 341, che individua ulteriori uffici di livello dirigenziale non generale all’interno dell’Unità di missione per il PNRR;</w:t>
      </w:r>
      <w:r w:rsidDel="00000000" w:rsidR="00000000" w:rsidRPr="00000000">
        <w:rPr>
          <w:rtl w:val="0"/>
        </w:rPr>
      </w:r>
    </w:p>
    <w:bookmarkStart w:colFirst="0" w:colLast="0" w:name="bookmark=id.48pi1tg" w:id="83"/>
    <w:bookmarkEnd w:id="83"/>
    <w:bookmarkStart w:colFirst="0" w:colLast="0" w:name="bookmark=id.2nusc19" w:id="84"/>
    <w:bookmarkEnd w:id="84"/>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 del Ministro dell’istruzione 15 febbraio 2022, n. 31, con cui sono state assegnate le risorse finanziarie ai titolari dei centri di responsabilità amministrativa e, in particolare, l’articolo 7 e la tabella D), allegata allo stesso, relativa ai capitoli e ai piani gestionali, su cui insistono le risorse destinate agli interventi in essere previsti dal PNRR;</w:t>
      </w:r>
      <w:r w:rsidDel="00000000" w:rsidR="00000000" w:rsidRPr="00000000">
        <w:rPr>
          <w:rtl w:val="0"/>
        </w:rPr>
      </w:r>
    </w:p>
    <w:bookmarkStart w:colFirst="0" w:colLast="0" w:name="bookmark=id.3mzq4wv" w:id="85"/>
    <w:bookmarkEnd w:id="85"/>
    <w:bookmarkStart w:colFirst="0" w:colLast="0" w:name="bookmark=id.1302m92" w:id="86"/>
    <w:bookmarkEnd w:id="86"/>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Circolare del 14 ottobre 2021, n. 21 del Ministero dell’economia e delle finanze – Dipartimento della ragioneria generale dello Stato - Servizio centrale per il PNRR, recante «Trasmissione delle Istruzioni Tecniche per la selezione dei progetti PNRR»;</w:t>
      </w:r>
      <w:r w:rsidDel="00000000" w:rsidR="00000000" w:rsidRPr="00000000">
        <w:rPr>
          <w:rtl w:val="0"/>
        </w:rPr>
      </w:r>
    </w:p>
    <w:bookmarkStart w:colFirst="0" w:colLast="0" w:name="bookmark=id.haapch" w:id="87"/>
    <w:bookmarkEnd w:id="87"/>
    <w:bookmarkStart w:colFirst="0" w:colLast="0" w:name="bookmark=id.2250f4o" w:id="88"/>
    <w:bookmarkEnd w:id="88"/>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le Linee guida per le Amministrazioni centrali titolari di interventi PNRR, approvate con la circolare del 29 ottobre 2021, n.25, recante “Rilevazione periodica avvisi, bandi e altre procedure di attivazione degli investimenti”, che riportano le modalità per assicurare la correttezza delle procedure di attuazione e rendicontazione, la regolarità della spesa e il conseguimento di target e milestone e di ogni altro adempimento previsto dalla normativa europea e nazionale applicabile al PNRR, a norma dell’articolo 8, comma 3, del decreto-legge 31 maggio 2021, n. 77, convertito, con modificazioni, dalla legge 29 luglio 2021, n. 108;</w:t>
      </w:r>
      <w:r w:rsidDel="00000000" w:rsidR="00000000" w:rsidRPr="00000000">
        <w:rPr>
          <w:rtl w:val="0"/>
        </w:rPr>
      </w:r>
    </w:p>
    <w:bookmarkStart w:colFirst="0" w:colLast="0" w:name="bookmark=id.1gf8i83" w:id="89"/>
    <w:bookmarkEnd w:id="89"/>
    <w:bookmarkStart w:colFirst="0" w:colLast="0" w:name="bookmark=id.319y80a" w:id="90"/>
    <w:bookmarkEnd w:id="90"/>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Regolamento UE 2020/852 e, in particolare, l’articolo 17 che definisce gli obiettivi ambientali, tra cui il principio di non arrecare un danno significativo (DNSH, “Do no significant harm”), e la Comunicazione della Commissione UE 2021/C58/01, recante “Orientamenti tecnici sull’applicazione del principio «non arrecare un danno significativo» a norma del regolamento sul dispositivo per la ripresa e la resilienza”;</w:t>
      </w:r>
      <w:r w:rsidDel="00000000" w:rsidR="00000000" w:rsidRPr="00000000">
        <w:rPr>
          <w:rtl w:val="0"/>
        </w:rPr>
      </w:r>
    </w:p>
    <w:bookmarkStart w:colFirst="0" w:colLast="0" w:name="bookmark=id.40ew0vw" w:id="91"/>
    <w:bookmarkEnd w:id="91"/>
    <w:bookmarkStart w:colFirst="0" w:colLast="0" w:name="bookmark=id.2fk6b3p" w:id="92"/>
    <w:bookmarkEnd w:id="92"/>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circolare del 30 dicembre 2021, n. 32, del Ministero dell’economia e delle finanze – Dipartimento della Ragioneria generale dello Stato, avente ad oggetto “Piano Nazionale di Ripresa e Resilienza – Guida operativa per il rispetto del principio di non arrecare danno significativo all’ambiente (DNSH)”, </w:t>
      </w:r>
      <w:r w:rsidDel="00000000" w:rsidR="00000000" w:rsidRPr="00000000">
        <w:rPr>
          <w:rFonts w:ascii="Liberation Serif" w:cs="Liberation Serif" w:eastAsia="Liberation Serif" w:hAnsi="Liberation Serif"/>
          <w:b w:val="0"/>
          <w:i w:val="0"/>
          <w:smallCaps w:val="0"/>
          <w:strike w:val="0"/>
          <w:color w:val="202124"/>
          <w:sz w:val="24"/>
          <w:szCs w:val="24"/>
          <w:highlight w:val="white"/>
          <w:u w:val="none"/>
          <w:vertAlign w:val="baseline"/>
          <w:rtl w:val="0"/>
        </w:rPr>
        <w:t xml:space="preserve">che impone all’Amministrazione titolare della misura di dimostrare se la stessa sia stata effettivamente realizzata senza arrecare un danno significativo agli obiettivi ambientali;</w:t>
      </w:r>
      <w:r w:rsidDel="00000000" w:rsidR="00000000" w:rsidRPr="00000000">
        <w:rPr>
          <w:rtl w:val="0"/>
        </w:rPr>
      </w:r>
    </w:p>
    <w:bookmarkStart w:colFirst="0" w:colLast="0" w:name="bookmark=id.3ep43zb" w:id="93"/>
    <w:bookmarkEnd w:id="93"/>
    <w:bookmarkStart w:colFirst="0" w:colLast="0" w:name="bookmark=id.upglbi" w:id="94"/>
    <w:bookmarkEnd w:id="94"/>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Guida operativa per il rispetto del principio di non arrecare danno significativo all’ambiente (cd. DNSH), edizione aggiornata allegata alla circolare RGS n. 33 del 13 ottobre 2022 e alla circolare RGS n. 22 del 14 maggio 2024;;</w:t>
      </w:r>
      <w:r w:rsidDel="00000000" w:rsidR="00000000" w:rsidRPr="00000000">
        <w:rPr>
          <w:rtl w:val="0"/>
        </w:rPr>
      </w:r>
    </w:p>
    <w:bookmarkStart w:colFirst="0" w:colLast="0" w:name="bookmark=id.1tuee74" w:id="95"/>
    <w:bookmarkEnd w:id="95"/>
    <w:bookmarkStart w:colFirst="0" w:colLast="0" w:name="bookmark=id.4du1wux" w:id="96"/>
    <w:bookmarkEnd w:id="96"/>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Circolare del 18 gennaio 2022, n. 4 del Ragioniere Generale dello Stato, recante “Piano nazionale di ripresa e resilienza (PNRR) – articolo 1, comma 1, del decreto-legge n. 80 del 2021 – Indicazioni attuative”;</w:t>
      </w:r>
      <w:r w:rsidDel="00000000" w:rsidR="00000000" w:rsidRPr="00000000">
        <w:rPr>
          <w:rtl w:val="0"/>
        </w:rPr>
      </w:r>
    </w:p>
    <w:bookmarkStart w:colFirst="0" w:colLast="0" w:name="bookmark=id.2szc72q" w:id="97"/>
    <w:bookmarkEnd w:id="97"/>
    <w:bookmarkStart w:colFirst="0" w:colLast="0" w:name="bookmark=id.3s49zyc" w:id="98"/>
    <w:bookmarkEnd w:id="98"/>
    <w:bookmarkStart w:colFirst="0" w:colLast="0" w:name="bookmark=id.184mhaj" w:id="99"/>
    <w:bookmarkEnd w:id="99"/>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VISTE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le Conclusioni del Consiglio dell’Unione europea (2020/C 415/10) sull’istruzione digitale nelle società della conoscenza europee (2020/C 415/10); </w:t>
      </w: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VISTE</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le Conclusioni del Consiglio dell’Unione europea (2020/C 212 I/03) sul contrasto alla crisi Covid-19 nel settore dell’istruzione e della formazione; </w:t>
      </w: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Raccomandazione del Consiglio dell’Unione europea sul programma nazionale di riforma 2020 dell’Italia e che formula un parere del Consiglio sul programma di stabilità 2020 dell’Italia (COM(2020) 512 final), che richiede, tra l’altro, di investire nell’apprendimento a distanza, nonché nell’infrastruttura e nelle competenze digitali di educatori e discenti; </w:t>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Piano d’azione per l’istruzione digitale 2021-2027 “Ripensare l'istruzione e la formazione per l’era digitale” di cui alla Comunicazione COM(2020) 624 final del 30 settembre 2020 della Commissione al Parlamento europeo, al Consiglio, al Comitato Economico e sociale europeo e al Comitato delle regioni; </w:t>
      </w: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Risoluzione del Consiglio dell’Unione Europea su un quadro strategico per la cooperazione europea nel settore dell’istruzione e della formazione verso uno spazio europeo dell’istruzione e oltre (2021-2030) (2021/C 66/01);</w:t>
      </w: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Comunicazione della Commissione europea al Parlamento, al Consiglio, al Comitato economico e sociale europeo e al Comitato delle regioni, che adotta “Un’agenda per le competenze per l’Europa per la competitività sostenibile, l'equità sociale e la resilienza” (COM(2020) 274 final);</w:t>
      </w: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Comunicazione della Commissione al Parlamento europeo, al Consiglio, al Comitato economico e sociale europeo e al Comitato delle Regioni, “Piano d’azione per l’integrazione e l’inclusione 2021-2027” (COM(2020) 758 final del 24 novembre 2020); </w:t>
      </w: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Comunicazione della Commissione al Parlamento europeo, al Consiglio, al Comitato economico e sociale europeo e al Comitato delle Regioni, “Bussola per il digitale 2030: il modello europeo per il decennio digitale” (COM(2021) 118 final del 9 marzo 2021);  </w:t>
      </w: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Decreto del Ministro dell’Istruzione n. 66 del 12 aprile 2023, recante “Decreto di riparto delle risorse alle istituzioni scolastiche in attuazione della linea di 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Next Generation EU”;</w:t>
      </w: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 del Ministro dell’istruzione 11 agosto 2022, n. 222, relativo alla destinazione delle risorse per l’attuazione di “progetti in essere” del PNRR relativi alle linee di investimento 2.1 “Didattica digitale integrata e formazione alla transizione digitale per il personale scolastico” e 3.2 “Scuola 4.0: scuole innovative, cablaggio, nuovi ambienti di apprendimento e laboratori” nell’ambito della Missione 4 – Componente 1 del Piano nazionale di ripresa e resilienza, finanziato dall’Unione europea – Next Generation EU;</w:t>
      </w: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CONSIDERATO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che il PNRR, nell’ambito della citata Missione 4 – Istruzione e Ricerca – Componente 1, relativamente al predetto investimento, prevede la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creazione di un sistema multidimensionale per la formazione continua dei docenti e del personale scolastico per la transizione digitale”, con il coordinamento del Ministero dell’istruzione e del merito e il coinvolgimento di “circa 650.000 persone tra docenti e personale scolastico e oltre 8.000 istituzioni educative</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RILEVATO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che la Decisione di esecuzione del Consiglio UE – CID relativa all’approvazione della valutazione del piano per la ripresa e la resilienza dell’Italia prevede, per la citata linea di investimento, che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la misura mira a creare un sistema permanente per lo sviluppo della didattica digitale, come pure delle competenze digitali e didattiche del personale scolastico. L’intervento prevede: - la creazione di un sistema per la formazione continua dei docenti e del personale scolastico per la transizione digitale, - l’adozione di un quadro di riferimento nazionale per la didattica digitale integrata, al fine di promuovere l’adozione di curricula in materia di competenze digitali in tutte le scuole. La linea di intervento prevede la formazione di circa 650.000 dirigenti scolastici, insegnanti e personale amministrativo, la creazione di Ministero dell’Istruzione e del Merito 5 circa 20.000 corsi di formazione nel corso dei cinque anni e l’istituzione di centri di formazione locali. Nei progetti di formazione dovranno essere coinvolte tutte le oltre 8.000 istituzioni educative in Italia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Nota MI n. 23940 del 19/09/2022 riportante le indicazioni operative in merito alla elaborazione dei documenti strategici delle istituzioni scolastiche per il triennio 2022-2025 e loro rapporto con PNRR;</w:t>
      </w: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Nota MI n. 4588 del 24/10/2023 riportante le indicazioni operative per introdurre nel piano triennale dell’offerta formativa delle istituzioni scolastiche per il triennio 2022-2025 azioni dedicate a rafforzare le competenze matematico-scientifico-tecnologiche e digitali attraverso metodologie didattiche innovative e loro rapporto con PNRR;</w:t>
      </w:r>
      <w:r w:rsidDel="00000000" w:rsidR="00000000" w:rsidRPr="00000000">
        <w:rPr>
          <w:rtl w:val="0"/>
        </w:rPr>
      </w:r>
    </w:p>
    <w:bookmarkStart w:colFirst="0" w:colLast="0" w:name="bookmark=id.meukdy" w:id="100"/>
    <w:bookmarkEnd w:id="100"/>
    <w:bookmarkStart w:colFirst="0" w:colLast="0" w:name="bookmark=id.279ka65" w:id="101"/>
    <w:bookmarkEnd w:id="101"/>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Circolare 26 luglio 2022, n. 29 del Ragioniere Generale dello Stato, recante “Circolare delle procedure finanziarie PNRR”;</w:t>
      </w:r>
      <w:r w:rsidDel="00000000" w:rsidR="00000000" w:rsidRPr="00000000">
        <w:rPr>
          <w:rtl w:val="0"/>
        </w:rPr>
      </w:r>
    </w:p>
    <w:bookmarkStart w:colFirst="0" w:colLast="0" w:name="bookmark=id.1ljsd9k" w:id="102"/>
    <w:bookmarkEnd w:id="102"/>
    <w:bookmarkStart w:colFirst="0" w:colLast="0" w:name="bookmark=id.36ei31r" w:id="103"/>
    <w:bookmarkEnd w:id="103"/>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Circolare 11 agosto 2022, n. 30, del Ragioniere Generale dello Stato, recante “Linee Guida per lo svolgimento delle attività di controllo e rendicontazione delle Misure PNRR di competenza delle Amministrazioni centrali e dei Soggetti Attuatori”;</w:t>
      </w:r>
      <w:r w:rsidDel="00000000" w:rsidR="00000000" w:rsidRPr="00000000">
        <w:rPr>
          <w:rtl w:val="0"/>
        </w:rPr>
      </w:r>
    </w:p>
    <w:bookmarkStart w:colFirst="0" w:colLast="0" w:name="bookmark=id.2koq656" w:id="104"/>
    <w:bookmarkEnd w:id="104"/>
    <w:bookmarkStart w:colFirst="0" w:colLast="0" w:name="bookmark=id.45jfvxd" w:id="105"/>
    <w:bookmarkEnd w:id="105"/>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l’Allegato 1 del D.M. 66/2023 del 12 aprile 2023 recante “Decreto di riparto delle risorse alle istituzioni scolastiche in attuazione della linea di 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Next Generation EU”;</w:t>
      </w: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che questa Istituzione Scolastica è stata autorizzata ad attuare le Azioni di Formazione del personale scolastico per la transizione digitale, in attuazione della linea di investimento 2.1 nell’ambito della Missione 4 - Componente 1 - del PNRR, con il progetto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Didattica digitale integrata e formazione alla transizione digitale per il personale scolastico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per un importo pari ad €</w:t>
      </w:r>
      <w:bookmarkStart w:colFirst="0" w:colLast="0" w:name="bookmark=id.zu0gcz" w:id="106"/>
      <w:bookmarkEnd w:id="106"/>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65991,04;</w:t>
      </w: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QUADERNO N. 3 del Ministero dell’Istruzione, del novembre 2020, recante Istruzioni per il conferimento di incarichi individuali;</w:t>
      </w:r>
      <w:r w:rsidDel="00000000" w:rsidR="00000000" w:rsidRPr="00000000">
        <w:rPr>
          <w:rtl w:val="0"/>
        </w:rPr>
      </w:r>
    </w:p>
    <w:bookmarkStart w:colFirst="0" w:colLast="0" w:name="bookmark=id.4iylrwe" w:id="107"/>
    <w:bookmarkEnd w:id="107"/>
    <w:bookmarkStart w:colFirst="0" w:colLast="0" w:name="bookmark=id.1yyy98l" w:id="108"/>
    <w:bookmarkEnd w:id="108"/>
    <w:bookmarkStart w:colFirst="0" w:colLast="0" w:name="bookmark=id.3jtnz0s" w:id="109"/>
    <w:bookmarkEnd w:id="109"/>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PRESO ATTO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che il Dirigente Scolastico, </w:t>
      </w:r>
      <w:bookmarkStart w:colFirst="0" w:colLast="0" w:name="bookmark=id.2y3w247" w:id="110"/>
      <w:bookmarkEnd w:id="110"/>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Dott.ssa Elisabetta Libralato, è stato nominato quale Responsabile del Procedimento in questione, ai sensi dell’art. 5 della Legge n. 241/1990;</w:t>
      </w:r>
      <w:r w:rsidDel="00000000" w:rsidR="00000000" w:rsidRPr="00000000">
        <w:rPr>
          <w:rtl w:val="0"/>
        </w:rPr>
      </w:r>
    </w:p>
    <w:bookmarkStart w:colFirst="0" w:colLast="0" w:name="bookmark=id.3x8tuzt" w:id="111"/>
    <w:bookmarkEnd w:id="111"/>
    <w:bookmarkStart w:colFirst="0" w:colLast="0" w:name="bookmark=id.1d96cc0" w:id="112"/>
    <w:bookmarkEnd w:id="112"/>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Piano Triennale dell’Offerta Formativa (PTOF) per l’as. </w:t>
      </w:r>
      <w:bookmarkStart w:colFirst="0" w:colLast="0" w:name="bookmark=id.2ce457m" w:id="113"/>
      <w:bookmarkEnd w:id="113"/>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2024/2025;</w:t>
      </w:r>
      <w:r w:rsidDel="00000000" w:rsidR="00000000" w:rsidRPr="00000000">
        <w:rPr>
          <w:rtl w:val="0"/>
        </w:rPr>
      </w:r>
    </w:p>
    <w:bookmarkStart w:colFirst="0" w:colLast="0" w:name="bookmark=id.3bj1y38" w:id="114"/>
    <w:bookmarkEnd w:id="114"/>
    <w:bookmarkStart w:colFirst="0" w:colLast="0" w:name="bookmark=id.rjefff" w:id="115"/>
    <w:bookmarkEnd w:id="115"/>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Programma Annuale E.F. </w:t>
      </w:r>
      <w:bookmarkStart w:colFirst="0" w:colLast="0" w:name="bookmark=id.1qoc8b1" w:id="116"/>
      <w:bookmarkEnd w:id="116"/>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2024 approvato dall’Istituto con delibera del CdI prot. n. </w:t>
      </w:r>
      <w:bookmarkStart w:colFirst="0" w:colLast="0" w:name="bookmark=id.4anzqyu" w:id="117"/>
      <w:bookmarkEnd w:id="117"/>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10 del 14/02/2024</w:t>
      </w:r>
      <w:r w:rsidDel="00000000" w:rsidR="00000000" w:rsidRPr="00000000">
        <w:rPr>
          <w:rtl w:val="0"/>
        </w:rPr>
      </w:r>
    </w:p>
    <w:bookmarkStart w:colFirst="0" w:colLast="0" w:name="bookmark=id.14ykbeg" w:id="118"/>
    <w:bookmarkEnd w:id="118"/>
    <w:bookmarkStart w:colFirst="0" w:colLast="0" w:name="bookmark=id.2pta16n" w:id="119"/>
    <w:bookmarkEnd w:id="119"/>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PRESO ATTO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che la linea di finanziamento che interessa codesta scuola è:</w:t>
      </w:r>
      <w:r w:rsidDel="00000000" w:rsidR="00000000" w:rsidRPr="00000000">
        <w:rPr>
          <w:rtl w:val="0"/>
        </w:rPr>
      </w:r>
    </w:p>
    <w:bookmarkStart w:colFirst="0" w:colLast="0" w:name="bookmark=id.3oy7u29" w:id="120"/>
    <w:bookmarkEnd w:id="120"/>
    <w:p w:rsidR="00000000" w:rsidDel="00000000" w:rsidP="00000000" w:rsidRDefault="00000000" w:rsidRPr="00000000" w14:paraId="0000004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Next Generation EU</w:t>
      </w:r>
    </w:p>
    <w:bookmarkStart w:colFirst="0" w:colLast="0" w:name="bookmark=id.j8sehv" w:id="121"/>
    <w:bookmarkEnd w:id="121"/>
    <w:bookmarkStart w:colFirst="0" w:colLast="0" w:name="bookmark=id.243i4a2" w:id="122"/>
    <w:bookmarkEnd w:id="122"/>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l’accordo di concessione prot. n. </w:t>
      </w:r>
      <w:bookmarkStart w:colFirst="0" w:colLast="0" w:name="bookmark=id.338fx5o" w:id="123"/>
      <w:bookmarkEnd w:id="123"/>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39163 del 03/03/2024, firmato dal Ministero dell’istruzione e del merito, rappresentato dalla dott.ssa Montesarchio, Direttore generale e coordinatrice dell’Unità di missione per il Piano nazionale di ripresa e resilienza, che autorizza l'attuazione del progetto </w:t>
      </w:r>
      <w:bookmarkStart w:colFirst="0" w:colLast="0" w:name="bookmark=id.1idq7dh" w:id="124"/>
      <w:bookmarkEnd w:id="124"/>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M4C1I2.1-2023-1222-P-43294 dal titolo "</w:t>
      </w:r>
      <w:bookmarkStart w:colFirst="0" w:colLast="0" w:name="bookmark=id.42ddq1a" w:id="125"/>
      <w:bookmarkEnd w:id="125"/>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A scuola passa il Futuro" per un importo pari a €</w:t>
      </w:r>
      <w:bookmarkStart w:colFirst="0" w:colLast="0" w:name="bookmark=id.2hio093" w:id="126"/>
      <w:bookmarkEnd w:id="126"/>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65991,04;</w:t>
      </w:r>
      <w:r w:rsidDel="00000000" w:rsidR="00000000" w:rsidRPr="00000000">
        <w:rPr>
          <w:rtl w:val="0"/>
        </w:rPr>
      </w:r>
    </w:p>
    <w:bookmarkStart w:colFirst="0" w:colLast="0" w:name="bookmark=id.3gnlt4p" w:id="127"/>
    <w:bookmarkEnd w:id="127"/>
    <w:bookmarkStart w:colFirst="0" w:colLast="0" w:name="bookmark=id.wnyagw" w:id="128"/>
    <w:bookmarkEnd w:id="128"/>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delibera n. </w:t>
      </w:r>
      <w:bookmarkStart w:colFirst="0" w:colLast="0" w:name="bookmark=id.1vsw3ci" w:id="129"/>
      <w:bookmarkEnd w:id="129"/>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12 del 27/02/2024 del Consiglio di Istituto di adesione al progetto;</w:t>
      </w: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decreto prot. n. </w:t>
      </w:r>
      <w:bookmarkStart w:colFirst="0" w:colLast="0" w:name="bookmark=id.4fsjm0b" w:id="130"/>
      <w:bookmarkEnd w:id="130"/>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3301 del 25/03/2024 di formale assunzione al Programma Annuale E.F. </w:t>
      </w:r>
      <w:bookmarkStart w:colFirst="0" w:colLast="0" w:name="bookmark=id.2uxtw84" w:id="131"/>
      <w:bookmarkEnd w:id="131"/>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2024 del finanziamento citato;</w:t>
      </w: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propria azione di disseminazione, comunicazione, sensibilizzazione e pubblicizzazione del progetto, prot. </w:t>
      </w:r>
      <w:bookmarkStart w:colFirst="0" w:colLast="0" w:name="bookmark=id.1a346fx" w:id="132"/>
      <w:bookmarkEnd w:id="132"/>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4369 del 22/04/2024;</w:t>
      </w:r>
      <w:r w:rsidDel="00000000" w:rsidR="00000000" w:rsidRPr="00000000">
        <w:rPr>
          <w:rtl w:val="0"/>
        </w:rPr>
      </w:r>
    </w:p>
    <w:bookmarkStart w:colFirst="0" w:colLast="0" w:name="bookmark=id.3u2rp3q" w:id="133"/>
    <w:bookmarkEnd w:id="133"/>
    <w:bookmarkStart w:colFirst="0" w:colLast="0" w:name="bookmark=id.2981zbj" w:id="134"/>
    <w:bookmarkEnd w:id="134"/>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RITENUTO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che questa Istituzione scolastica ha provveduto, prioritariamente ad individuare al proprio interno la figura  richiesta, anche attraverso ricognizione del personale interno all’Istituzione;</w:t>
      </w: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Circolare della Funzione Pubblica n. 2/2008;</w:t>
      </w: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in particolare l’art. 43 del citato decreto Interministeriale n. 129 del 28 agosto 2018 che consente all’istituzione scolastica la stipula di contratti di prestazione d’opera con esperti per particolari attività ed insegnamenti, al fine di garantire l’arricchimento dell’offerta formativa nonché la realizzazione di specifici programmi di ricerca e sperimentazione;</w:t>
      </w: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che ai sensi dell’art. 45 del D.I. 129/2018, l’istituzione scolastica può stipulare contratti di prestazione d’opera con esperti interni ed esterni al fine di garantire l’arricchimento dell’offerta formativa, nonché la realizzazione di specifici programmi di ricerca e di sperimentazione;</w:t>
      </w: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Circolare n. 2 del 2 febbraio 2009 del Ministero del Lavoro che regolamenta i compensi, gli aspetti fiscali e contributivi per gli incarichi ed impieghi nella P.A.;</w:t>
      </w: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CCNL del 18 gennaio 2024, recante il “Contratto Collettivo Nazionale di Lavoro del personale del comparto “Istruzione e Ricerca” Periodo 2019-2021”;</w:t>
      </w:r>
      <w:r w:rsidDel="00000000" w:rsidR="00000000" w:rsidRPr="00000000">
        <w:rPr>
          <w:rtl w:val="0"/>
        </w:rPr>
      </w:r>
    </w:p>
    <w:bookmarkStart w:colFirst="0" w:colLast="0" w:name="bookmark=id.38czs75" w:id="135"/>
    <w:bookmarkEnd w:id="135"/>
    <w:bookmarkStart w:colFirst="0" w:colLast="0" w:name="bookmark=id.odc9jc" w:id="136"/>
    <w:bookmarkEnd w:id="136"/>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RILEVATA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necessità di provvedere al conferimento dell’incarico in oggetto, al fine di garantire la realizzazione delle attività didattico-formative di cui all’oggetto;</w:t>
      </w:r>
      <w:r w:rsidDel="00000000" w:rsidR="00000000" w:rsidRPr="00000000">
        <w:rPr>
          <w:rtl w:val="0"/>
        </w:rPr>
      </w:r>
    </w:p>
    <w:bookmarkStart w:colFirst="0" w:colLast="0" w:name="bookmark=id.1nia2ey" w:id="137"/>
    <w:bookmarkEnd w:id="137"/>
    <w:bookmarkStart w:colFirst="0" w:colLast="0" w:name="bookmark=id.47hxl2r" w:id="138"/>
    <w:bookmarkEnd w:id="138"/>
    <w:bookmarkStart w:colFirst="0" w:colLast="0" w:name="bookmark=id.2mn7vak" w:id="139"/>
    <w:bookmarkEnd w:id="139"/>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l’Avviso di selezione prot. n. </w:t>
      </w:r>
      <w:bookmarkStart w:colFirst="0" w:colLast="0" w:name="bookmark=id.11si5id" w:id="140"/>
      <w:bookmarkEnd w:id="140"/>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9311 del 30/09/2024 che fissa i criteri, le modalità di presentazione ed i termini di scadenza delle istanze pervenute per l’incarico in oggetto;</w:t>
      </w: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graduatoria definitiva pubblicata in data </w:t>
      </w:r>
      <w:bookmarkStart w:colFirst="0" w:colLast="0" w:name="bookmark=id.3ls5o66" w:id="141"/>
      <w:bookmarkEnd w:id="141"/>
      <w:r w:rsidDel="00000000" w:rsidR="00000000" w:rsidRPr="00000000">
        <w:rPr>
          <w:rFonts w:ascii="Liberation Serif" w:cs="Liberation Serif" w:eastAsia="Liberation Serif" w:hAnsi="Liberation Serif"/>
          <w:b w:val="0"/>
          <w:i w:val="0"/>
          <w:smallCaps w:val="0"/>
          <w:strike w:val="0"/>
          <w:color w:val="000000"/>
          <w:sz w:val="24"/>
          <w:szCs w:val="24"/>
          <w:highlight w:val="yellow"/>
          <w:u w:val="none"/>
          <w:vertAlign w:val="baseline"/>
          <w:rtl w:val="0"/>
        </w:rPr>
        <w:t xml:space="preserve">__________</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prot. n. </w:t>
      </w:r>
      <w:bookmarkStart w:colFirst="0" w:colLast="0" w:name="bookmark=id.20xfydz" w:id="142"/>
      <w:bookmarkEnd w:id="142"/>
      <w:r w:rsidDel="00000000" w:rsidR="00000000" w:rsidRPr="00000000">
        <w:rPr>
          <w:rFonts w:ascii="Liberation Serif" w:cs="Liberation Serif" w:eastAsia="Liberation Serif" w:hAnsi="Liberation Serif"/>
          <w:b w:val="0"/>
          <w:i w:val="0"/>
          <w:smallCaps w:val="0"/>
          <w:strike w:val="0"/>
          <w:color w:val="000000"/>
          <w:sz w:val="24"/>
          <w:szCs w:val="24"/>
          <w:highlight w:val="yellow"/>
          <w:u w:val="none"/>
          <w:vertAlign w:val="baseline"/>
          <w:rtl w:val="0"/>
        </w:rPr>
        <w:t xml:space="preserve">__________</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w:t>
      </w:r>
      <w:r w:rsidDel="00000000" w:rsidR="00000000" w:rsidRPr="00000000">
        <w:rPr>
          <w:rtl w:val="0"/>
        </w:rPr>
      </w:r>
    </w:p>
    <w:bookmarkStart w:colFirst="0" w:colLast="0" w:name="bookmark=id.1f7o1he" w:id="143"/>
    <w:bookmarkEnd w:id="143"/>
    <w:bookmarkStart w:colFirst="0" w:colLast="0" w:name="bookmark=id.302dr9l" w:id="144"/>
    <w:bookmarkEnd w:id="144"/>
    <w:bookmarkStart w:colFirst="0" w:colLast="0" w:name="bookmark=id.4kx3h1s" w:id="145"/>
    <w:bookmarkEnd w:id="145"/>
    <w:bookmarkStart w:colFirst="0" w:colLast="0" w:name="bookmark=id.3z7bk57" w:id="146"/>
    <w:bookmarkEnd w:id="146"/>
    <w:p w:rsidR="00000000" w:rsidDel="00000000" w:rsidP="00000000" w:rsidRDefault="00000000" w:rsidRPr="00000000" w14:paraId="0000005D">
      <w:pPr>
        <w:pStyle w:val="Heading3"/>
        <w:spacing w:after="0" w:before="0" w:lineRule="auto"/>
        <w:ind w:left="0" w:right="0" w:firstLine="0"/>
        <w:jc w:val="center"/>
        <w:rPr>
          <w:highlight w:val="white"/>
        </w:rPr>
      </w:pPr>
      <w:r w:rsidDel="00000000" w:rsidR="00000000" w:rsidRPr="00000000">
        <w:rPr>
          <w:highlight w:val="white"/>
          <w:rtl w:val="0"/>
        </w:rPr>
        <w:t xml:space="preserve">NOMINA</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il/la prof./ssa </w:t>
      </w:r>
      <w:bookmarkStart w:colFirst="0" w:colLast="0" w:name="bookmark=id.2eclud0" w:id="147"/>
      <w:bookmarkEnd w:id="147"/>
      <w:r w:rsidDel="00000000" w:rsidR="00000000" w:rsidRPr="00000000">
        <w:rPr>
          <w:rFonts w:ascii="Liberation Serif" w:cs="Liberation Serif" w:eastAsia="Liberation Serif" w:hAnsi="Liberation Serif"/>
          <w:b w:val="0"/>
          <w:i w:val="0"/>
          <w:smallCaps w:val="0"/>
          <w:strike w:val="0"/>
          <w:color w:val="000000"/>
          <w:sz w:val="24"/>
          <w:szCs w:val="24"/>
          <w:highlight w:val="yellow"/>
          <w:u w:val="none"/>
          <w:vertAlign w:val="baseline"/>
          <w:rtl w:val="0"/>
        </w:rPr>
        <w:t xml:space="preserve">__________</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Docente Tutor interno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da impiegare nello svolgimento dei </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Laboratori di formazione sulla transizione digitale</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secondo quanto di seguito indicato:</w:t>
      </w:r>
      <w:r w:rsidDel="00000000" w:rsidR="00000000" w:rsidRPr="00000000">
        <w:rPr>
          <w:rtl w:val="0"/>
        </w:rPr>
      </w:r>
    </w:p>
    <w:tbl>
      <w:tblPr>
        <w:tblStyle w:val="Table1"/>
        <w:tblW w:w="10205.0" w:type="dxa"/>
        <w:jc w:val="center"/>
        <w:tblLayout w:type="fixed"/>
        <w:tblLook w:val="0000"/>
      </w:tblPr>
      <w:tblGrid>
        <w:gridCol w:w="2449"/>
        <w:gridCol w:w="1773"/>
        <w:gridCol w:w="2344"/>
        <w:gridCol w:w="1532"/>
        <w:gridCol w:w="2107"/>
        <w:tblGridChange w:id="0">
          <w:tblGrid>
            <w:gridCol w:w="2449"/>
            <w:gridCol w:w="1773"/>
            <w:gridCol w:w="2344"/>
            <w:gridCol w:w="1532"/>
            <w:gridCol w:w="2107"/>
          </w:tblGrid>
        </w:tblGridChange>
      </w:tblGrid>
      <w:tr>
        <w:trPr>
          <w:cantSplit w:val="0"/>
          <w:tblHeader w:val="0"/>
        </w:trPr>
        <w:tc>
          <w:tcPr>
            <w:tcBorders>
              <w:top w:color="808080" w:space="0" w:sz="6" w:val="single"/>
              <w:left w:color="808080" w:space="0" w:sz="6" w:val="single"/>
              <w:bottom w:color="808080" w:space="0" w:sz="4" w:val="single"/>
              <w:right w:color="808080" w:space="0" w:sz="6" w:val="single"/>
            </w:tcBorders>
            <w:vAlign w:val="center"/>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MATERIA OGGETTO LABORATORIO/I ASSEGNATI</w:t>
            </w:r>
            <w:r w:rsidDel="00000000" w:rsidR="00000000" w:rsidRPr="00000000">
              <w:rPr>
                <w:rtl w:val="0"/>
              </w:rPr>
            </w:r>
          </w:p>
        </w:tc>
        <w:tc>
          <w:tcPr>
            <w:tcBorders>
              <w:top w:color="808080" w:space="0" w:sz="6" w:val="single"/>
              <w:left w:color="808080" w:space="0" w:sz="4" w:val="single"/>
              <w:bottom w:color="808080" w:space="0" w:sz="4" w:val="single"/>
              <w:right w:color="808080" w:space="0" w:sz="6" w:val="single"/>
            </w:tcBorders>
            <w:vAlign w:val="cente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n.  LABORATORIO/I</w:t>
            </w: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 ASSEGNATO/I</w:t>
            </w:r>
            <w:r w:rsidDel="00000000" w:rsidR="00000000" w:rsidRPr="00000000">
              <w:rPr>
                <w:rtl w:val="0"/>
              </w:rPr>
            </w:r>
          </w:p>
        </w:tc>
        <w:tc>
          <w:tcPr>
            <w:tcBorders>
              <w:top w:color="808080" w:space="0" w:sz="6" w:val="single"/>
              <w:left w:color="808080" w:space="0" w:sz="4" w:val="single"/>
              <w:bottom w:color="808080" w:space="0" w:sz="4" w:val="single"/>
              <w:right w:color="808080" w:space="0" w:sz="6" w:val="single"/>
            </w:tcBorders>
            <w:vAlign w:val="center"/>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n.  ORE PER LABORATORIO/I ASSEGNATO/I</w:t>
            </w:r>
            <w:r w:rsidDel="00000000" w:rsidR="00000000" w:rsidRPr="00000000">
              <w:rPr>
                <w:rtl w:val="0"/>
              </w:rPr>
            </w:r>
          </w:p>
        </w:tc>
        <w:tc>
          <w:tcPr>
            <w:tcBorders>
              <w:top w:color="808080" w:space="0" w:sz="6" w:val="single"/>
              <w:left w:color="808080" w:space="0" w:sz="4" w:val="single"/>
              <w:bottom w:color="808080" w:space="0" w:sz="4" w:val="single"/>
              <w:right w:color="808080" w:space="0" w:sz="6" w:val="single"/>
            </w:tcBorders>
            <w:vAlign w:val="cente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COMPENSO </w:t>
            </w: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ORARIO  </w:t>
            </w:r>
            <w:r w:rsidDel="00000000" w:rsidR="00000000" w:rsidRPr="00000000">
              <w:rPr>
                <w:rtl w:val="0"/>
              </w:rPr>
            </w:r>
          </w:p>
        </w:tc>
        <w:tc>
          <w:tcPr>
            <w:tcBorders>
              <w:top w:color="808080" w:space="0" w:sz="6" w:val="single"/>
              <w:left w:color="808080" w:space="0" w:sz="4" w:val="single"/>
              <w:bottom w:color="808080" w:space="0" w:sz="4" w:val="single"/>
              <w:right w:color="808080" w:space="0" w:sz="6" w:val="single"/>
            </w:tcBorders>
            <w:vAlign w:val="center"/>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COMPENSO </w:t>
            </w: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ORARIO COMPLESSIVO </w:t>
            </w: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PREVISTO PER L’INCARICO</w:t>
            </w:r>
            <w:r w:rsidDel="00000000" w:rsidR="00000000" w:rsidRPr="00000000">
              <w:rPr>
                <w:rtl w:val="0"/>
              </w:rPr>
            </w:r>
          </w:p>
        </w:tc>
      </w:tr>
      <w:tr>
        <w:trPr>
          <w:cantSplit w:val="0"/>
          <w:tblHeader w:val="0"/>
        </w:trPr>
        <w:tc>
          <w:tcPr>
            <w:tcBorders>
              <w:left w:color="808080" w:space="0" w:sz="6" w:val="single"/>
              <w:bottom w:color="808080" w:space="0" w:sz="6" w:val="single"/>
              <w:right w:color="808080" w:space="0" w:sz="6" w:val="single"/>
            </w:tcBorders>
            <w:vAlign w:val="center"/>
          </w:tcPr>
          <w:bookmarkStart w:colFirst="0" w:colLast="0" w:name="bookmark=id.thw4kt" w:id="148"/>
          <w:bookmarkEnd w:id="148"/>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1"/>
                <w:smallCaps w:val="0"/>
                <w:strike w:val="0"/>
                <w:color w:val="000000"/>
                <w:sz w:val="24"/>
                <w:szCs w:val="24"/>
                <w:highlight w:val="yellow"/>
                <w:u w:val="none"/>
                <w:vertAlign w:val="baseline"/>
                <w:rtl w:val="0"/>
              </w:rPr>
              <w:t xml:space="preserve">__________</w:t>
            </w:r>
            <w:r w:rsidDel="00000000" w:rsidR="00000000" w:rsidRPr="00000000">
              <w:rPr>
                <w:rtl w:val="0"/>
              </w:rPr>
            </w:r>
          </w:p>
        </w:tc>
        <w:tc>
          <w:tcPr>
            <w:tcBorders>
              <w:left w:color="808080" w:space="0" w:sz="4" w:val="single"/>
              <w:bottom w:color="808080" w:space="0" w:sz="6" w:val="single"/>
              <w:right w:color="808080" w:space="0" w:sz="6" w:val="single"/>
            </w:tcBorders>
            <w:vAlign w:val="center"/>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highlight w:val="yellow"/>
                <w:u w:val="none"/>
                <w:vertAlign w:val="baseline"/>
              </w:rPr>
            </w:pPr>
            <w:r w:rsidDel="00000000" w:rsidR="00000000" w:rsidRPr="00000000">
              <w:rPr>
                <w:highlight w:val="yellow"/>
                <w:rtl w:val="0"/>
              </w:rPr>
              <w:t xml:space="preserve">_____</w:t>
            </w:r>
            <w:bookmarkStart w:colFirst="0" w:colLast="0" w:name="bookmark=id.3dhjn8m" w:id="149"/>
            <w:bookmarkEnd w:id="149"/>
            <w:r w:rsidDel="00000000" w:rsidR="00000000" w:rsidRPr="00000000">
              <w:rPr>
                <w:rtl w:val="0"/>
              </w:rPr>
            </w:r>
          </w:p>
        </w:tc>
        <w:tc>
          <w:tcPr>
            <w:tcBorders>
              <w:left w:color="808080" w:space="0" w:sz="4" w:val="single"/>
              <w:bottom w:color="808080" w:space="0" w:sz="6" w:val="single"/>
              <w:right w:color="808080" w:space="0" w:sz="6" w:val="single"/>
            </w:tcBorders>
            <w:vAlign w:val="center"/>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n</w:t>
            </w:r>
            <w:r w:rsidDel="00000000" w:rsidR="00000000" w:rsidRPr="00000000">
              <w:rPr>
                <w:rFonts w:ascii="Liberation Serif" w:cs="Liberation Serif" w:eastAsia="Liberation Serif" w:hAnsi="Liberation Serif"/>
                <w:b w:val="0"/>
                <w:i w:val="0"/>
                <w:smallCaps w:val="0"/>
                <w:strike w:val="0"/>
                <w:color w:val="000000"/>
                <w:sz w:val="24"/>
                <w:szCs w:val="24"/>
                <w:highlight w:val="yellow"/>
                <w:u w:val="none"/>
                <w:vertAlign w:val="baseline"/>
                <w:rtl w:val="0"/>
              </w:rPr>
              <w:t xml:space="preserve">. </w:t>
            </w:r>
            <w:bookmarkStart w:colFirst="0" w:colLast="0" w:name="bookmark=id.1smtxgf" w:id="150"/>
            <w:bookmarkEnd w:id="150"/>
            <w:r w:rsidDel="00000000" w:rsidR="00000000" w:rsidRPr="00000000">
              <w:rPr>
                <w:rFonts w:ascii="Liberation Serif" w:cs="Liberation Serif" w:eastAsia="Liberation Serif" w:hAnsi="Liberation Serif"/>
                <w:b w:val="0"/>
                <w:i w:val="0"/>
                <w:smallCaps w:val="0"/>
                <w:strike w:val="0"/>
                <w:color w:val="000000"/>
                <w:sz w:val="24"/>
                <w:szCs w:val="24"/>
                <w:highlight w:val="yellow"/>
                <w:u w:val="none"/>
                <w:vertAlign w:val="baseline"/>
                <w:rtl w:val="0"/>
              </w:rPr>
              <w:t xml:space="preserve">0 </w:t>
            </w: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ore</w:t>
            </w:r>
          </w:p>
        </w:tc>
        <w:tc>
          <w:tcPr>
            <w:tcBorders>
              <w:left w:color="808080" w:space="0" w:sz="4" w:val="single"/>
              <w:bottom w:color="808080" w:space="0" w:sz="6" w:val="single"/>
              <w:right w:color="808080" w:space="0" w:sz="6" w:val="single"/>
            </w:tcBorders>
            <w:vAlign w:val="center"/>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€34,00/h</w:t>
            </w:r>
          </w:p>
        </w:tc>
        <w:tc>
          <w:tcPr>
            <w:tcBorders>
              <w:left w:color="808080" w:space="0" w:sz="4" w:val="single"/>
              <w:bottom w:color="808080" w:space="0" w:sz="6" w:val="single"/>
              <w:right w:color="808080" w:space="0" w:sz="6" w:val="single"/>
            </w:tcBorders>
            <w:vAlign w:val="cente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highlight w:val="yellow"/>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yellow"/>
                <w:u w:val="none"/>
                <w:vertAlign w:val="baseline"/>
                <w:rtl w:val="0"/>
              </w:rPr>
              <w:t xml:space="preserve">€</w:t>
            </w:r>
            <w:bookmarkStart w:colFirst="0" w:colLast="0" w:name="bookmark=id.4cmhg48" w:id="151"/>
            <w:bookmarkEnd w:id="151"/>
            <w:r w:rsidDel="00000000" w:rsidR="00000000" w:rsidRPr="00000000">
              <w:rPr>
                <w:rFonts w:ascii="Liberation Serif" w:cs="Liberation Serif" w:eastAsia="Liberation Serif" w:hAnsi="Liberation Serif"/>
                <w:b w:val="0"/>
                <w:i w:val="0"/>
                <w:smallCaps w:val="0"/>
                <w:strike w:val="0"/>
                <w:color w:val="000000"/>
                <w:sz w:val="24"/>
                <w:szCs w:val="24"/>
                <w:highlight w:val="yellow"/>
                <w:u w:val="none"/>
                <w:vertAlign w:val="baseline"/>
                <w:rtl w:val="0"/>
              </w:rPr>
              <w:t xml:space="preserve">0,00</w:t>
            </w:r>
          </w:p>
        </w:tc>
      </w:tr>
    </w:tbl>
    <w:p w:rsidR="00000000" w:rsidDel="00000000" w:rsidP="00000000" w:rsidRDefault="00000000" w:rsidRPr="00000000" w14:paraId="0000006D">
      <w:pPr>
        <w:pStyle w:val="Heading3"/>
        <w:spacing w:after="0" w:before="0" w:lineRule="auto"/>
        <w:jc w:val="center"/>
        <w:rPr>
          <w:highlight w:val="white"/>
        </w:rPr>
      </w:pPr>
      <w:r w:rsidDel="00000000" w:rsidR="00000000" w:rsidRPr="00000000">
        <w:rPr>
          <w:highlight w:val="white"/>
          <w:rtl w:val="0"/>
        </w:rPr>
        <w:br w:type="textWrapping"/>
        <w:t xml:space="preserve">ART. 1 - SEDE DELL’INCARICO</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t xml:space="preserve">Sede dell’incarico è la sede dell’Istituto “</w:t>
      </w:r>
      <w:bookmarkStart w:colFirst="0" w:colLast="0" w:name="bookmark=id.2rrrqc1" w:id="152"/>
      <w:bookmarkEnd w:id="152"/>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Istituto Comprensivo "E. Solvay/D. Alighieri"”, sita in </w:t>
      </w:r>
      <w:bookmarkStart w:colFirst="0" w:colLast="0" w:name="bookmark=id.16x20ju" w:id="153"/>
      <w:bookmarkEnd w:id="153"/>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Rosignano Marittimo.</w:t>
      </w:r>
    </w:p>
    <w:bookmarkStart w:colFirst="0" w:colLast="0" w:name="bookmark=id.3qwpj7n" w:id="154"/>
    <w:bookmarkEnd w:id="154"/>
    <w:bookmarkStart w:colFirst="0" w:colLast="0" w:name="bookmark=id.261ztfg" w:id="155"/>
    <w:bookmarkEnd w:id="155"/>
    <w:p w:rsidR="00000000" w:rsidDel="00000000" w:rsidP="00000000" w:rsidRDefault="00000000" w:rsidRPr="00000000" w14:paraId="0000006F">
      <w:pPr>
        <w:pStyle w:val="Heading3"/>
        <w:spacing w:after="0" w:before="0" w:lineRule="auto"/>
        <w:ind w:left="0" w:right="0" w:firstLine="0"/>
        <w:jc w:val="center"/>
        <w:rPr>
          <w:highlight w:val="white"/>
        </w:rPr>
      </w:pPr>
      <w:r w:rsidDel="00000000" w:rsidR="00000000" w:rsidRPr="00000000">
        <w:rPr>
          <w:highlight w:val="white"/>
          <w:rtl w:val="0"/>
        </w:rPr>
        <w:t xml:space="preserve">ART. 2 COMPITI, DURATA E COMPENSO</w:t>
      </w:r>
    </w:p>
    <w:bookmarkStart w:colFirst="0" w:colLast="0" w:name="bookmark=id.356xmb2" w:id="156"/>
    <w:bookmarkEnd w:id="156"/>
    <w:bookmarkStart w:colFirst="0" w:colLast="0" w:name="bookmark=id.l7a3n9" w:id="157"/>
    <w:bookmarkEnd w:id="157"/>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Docente Tutor</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è incaricato di realizzare le seguenti attività: </w:t>
      </w:r>
      <w:r w:rsidDel="00000000" w:rsidR="00000000" w:rsidRPr="00000000">
        <w:rPr>
          <w:rtl w:val="0"/>
        </w:rPr>
      </w:r>
    </w:p>
    <w:p w:rsidR="00000000" w:rsidDel="00000000" w:rsidP="00000000" w:rsidRDefault="00000000" w:rsidRPr="00000000" w14:paraId="0000007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supportare il Docente Esperto nella realizzazione degli interventi previsti per ciascun laboratorio;</w:t>
      </w:r>
    </w:p>
    <w:p w:rsidR="00000000" w:rsidDel="00000000" w:rsidP="00000000" w:rsidRDefault="00000000" w:rsidRPr="00000000" w14:paraId="0000007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facilitare i processi di apprendimento dei corsisti  e collaborare con i Docenti Esperti;</w:t>
      </w:r>
    </w:p>
    <w:p w:rsidR="00000000" w:rsidDel="00000000" w:rsidP="00000000" w:rsidRDefault="00000000" w:rsidRPr="00000000" w14:paraId="0000007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registrare i corsisti e acquisire le presenze giornaliere;</w:t>
      </w:r>
    </w:p>
    <w:p w:rsidR="00000000" w:rsidDel="00000000" w:rsidP="00000000" w:rsidRDefault="00000000" w:rsidRPr="00000000" w14:paraId="0000007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monitorare la presenza dei corsisti e contattarli in caso di assenza ingiustificata;</w:t>
      </w:r>
    </w:p>
    <w:p w:rsidR="00000000" w:rsidDel="00000000" w:rsidP="00000000" w:rsidRDefault="00000000" w:rsidRPr="00000000" w14:paraId="0000007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stimolare la motivazione dei corsisti;</w:t>
      </w:r>
    </w:p>
    <w:p w:rsidR="00000000" w:rsidDel="00000000" w:rsidP="00000000" w:rsidRDefault="00000000" w:rsidRPr="00000000" w14:paraId="0000007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collaborare con il Docente Esperto nell’attuazione degli interventi didattici personalizzati per facilitare i processi di apprendimento dei corsisti; </w:t>
      </w:r>
    </w:p>
    <w:p w:rsidR="00000000" w:rsidDel="00000000" w:rsidP="00000000" w:rsidRDefault="00000000" w:rsidRPr="00000000" w14:paraId="0000007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collaborare con il Docente Esperto nella stesura della relazione finale per ogni corsista;</w:t>
      </w:r>
    </w:p>
    <w:p w:rsidR="00000000" w:rsidDel="00000000" w:rsidP="00000000" w:rsidRDefault="00000000" w:rsidRPr="00000000" w14:paraId="0000007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relazionare periodicamente al Dirigente Scolastico sullo stato di attuazione del torio e sulle eventuali criticità rilevate;</w:t>
      </w:r>
    </w:p>
    <w:p w:rsidR="00000000" w:rsidDel="00000000" w:rsidP="00000000" w:rsidRDefault="00000000" w:rsidRPr="00000000" w14:paraId="0000007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aggiornare la piattaforma Futura o altro con le  informazioni afferenti le attività progettuali accedendo con le proprie personali credenziali Spid;</w:t>
      </w:r>
    </w:p>
    <w:p w:rsidR="00000000" w:rsidDel="00000000" w:rsidP="00000000" w:rsidRDefault="00000000" w:rsidRPr="00000000" w14:paraId="0000007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curare la documentazione di riferimento per ciascun laboratorio attivato.</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Per lo svolgimento dell’attività tecnica del soggetto incaricato così come sopra esplicitata, è previsto un compenso orario onnicomprensivo pari a </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€34,00</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a ora sulla base delle ore effettivamente svolte e rendicontate, fermo restando il raggiungimento dei target e milestone così come indicati nel Progetto. Il mancato raggiungimento di target e milestone della Linea di investimento oggetto dà luogo alla decadenza del finanziamento ricevuto; pertanto, in tale caso, alcun compenso sarà corrisposto a favore del soggetto incaricato.</w:t>
      </w:r>
      <w:r w:rsidDel="00000000" w:rsidR="00000000" w:rsidRPr="00000000">
        <w:rPr>
          <w:rtl w:val="0"/>
        </w:rPr>
      </w:r>
    </w:p>
    <w:bookmarkStart w:colFirst="0" w:colLast="0" w:name="bookmark=id.1kc7wiv" w:id="158"/>
    <w:bookmarkEnd w:id="158"/>
    <w:bookmarkStart w:colFirst="0" w:colLast="0" w:name="bookmark=id.44bvf6o" w:id="159"/>
    <w:bookmarkEnd w:id="159"/>
    <w:bookmarkStart w:colFirst="0" w:colLast="0" w:name="bookmark=id.2jh5peh" w:id="160"/>
    <w:bookmarkEnd w:id="160"/>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L'importo orario indicato per ciascuna figura è Lordo Stato, onnicomprensivo di tutte le ritenute previdenziali e fiscali, a carico dell’Istituto e dell’esperto selezionato, nonché di ogni altro onere di natura fiscale, previdenziale ed assistenziale che dovesse intervenire per effetto di nuove disposizioni normative.</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 compensi saranno corrisposti a saldo, sulla base dell’effettiva erogazione dei fondi e della disponibilità degli accreditamenti disposti dagli Enti deputati.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Pertanto, nessuna responsabilità, in merito ad eventuali ritardi nei pagamenti, indipendenti dalla volontà dell’Istituzione scolastica, potrà essere attribuita alla medesima. Sul compenso spettante saranno applicate le ritenute fiscali nella misura prevista dalle vigenti disposizioni di legge. Nulla è dovuto a titolo di rimborso spese per viaggi e trasferimenti.</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compenso erogato con il presente incarico non da luogo ad alcun trattamento di fine rapporto.</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L’incarico sarà espletato in orario </w:t>
      </w:r>
      <w:bookmarkStart w:colFirst="0" w:colLast="0" w:name="bookmark=id.ymfzma" w:id="161"/>
      <w:bookmarkEnd w:id="161"/>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curricolare e/o extra-curricolare e, in ogni caso, fuori dall’orario di servizio del Docente incaricato.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calendario delle attività sarà stabilito dall’Istituto Scolastico e non sono consentite modifiche da parte del personale destinatario dell’incarico se non previ accordi con l’Amministrazione.</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durata dell’incarico decorre dall’atto di nomina, mediante lettera di conferimento dell’incarico, fino al termine della realizzazione dell’Investimento.</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prestazione dovrà essere svolta personalmente dal soggetto individuato.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L'attività dovrà risultare da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time sheet</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o altra modalità di tipo rendicontativo che saranno rese note e dovrà essere prestata unicamente per lo svolgimento delle azioni strettamente connesse ed essenziali per la realizzazione del progetto finanziato, funzionalmente vincolate all’effettivo raggiungimento di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target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milestone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di progetto, ed espletate in maniera specifica per assicurare le condizioni di realizzazione del medesimo progetto. </w:t>
      </w:r>
      <w:r w:rsidDel="00000000" w:rsidR="00000000" w:rsidRPr="00000000">
        <w:rPr>
          <w:rtl w:val="0"/>
        </w:rPr>
      </w:r>
    </w:p>
    <w:bookmarkStart w:colFirst="0" w:colLast="0" w:name="bookmark=id.3im3ia3" w:id="162"/>
    <w:bookmarkEnd w:id="162"/>
    <w:bookmarkStart w:colFirst="0" w:colLast="0" w:name="bookmark=id.1xrdshw" w:id="163"/>
    <w:bookmarkEnd w:id="163"/>
    <w:p w:rsidR="00000000" w:rsidDel="00000000" w:rsidP="00000000" w:rsidRDefault="00000000" w:rsidRPr="00000000" w14:paraId="00000085">
      <w:pPr>
        <w:pStyle w:val="Heading3"/>
        <w:spacing w:after="0" w:before="0" w:lineRule="auto"/>
        <w:ind w:left="0" w:right="0" w:firstLine="0"/>
        <w:jc w:val="center"/>
        <w:rPr>
          <w:highlight w:val="white"/>
        </w:rPr>
      </w:pPr>
      <w:r w:rsidDel="00000000" w:rsidR="00000000" w:rsidRPr="00000000">
        <w:rPr>
          <w:highlight w:val="white"/>
          <w:rtl w:val="0"/>
        </w:rPr>
        <w:t xml:space="preserve">ART. 3 - REVOCA DELL’INCARICO</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L’Istituto Scolastico può revocare il presente incarico in caso di inadempimento alle prestazioni e degli obblighi previsti dalla legge, dai documenti relativi alla procedura in oggetto e dalla lettera di incarico.</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In caso di revoca del presente incarico il personale incaricato dovrà far pervenire entro il termine indicato dal Dirigente tutte le informazioni ed i risultati dell’attività svolta fino alla data della revoca medesima ed in favore dello stesso personale incaricato verrà corrisposto un compenso commisurato all’effettiva prestazione effettivamente svolta e rendicontata.</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L’Istituto Scolastico può revocare l’incarico, in tutto o in parte, in caso di rinuncia al  finanziamento conferito per la realizzazione del percorso in oggetto oppure in caso di revoca dello stesso da parte delle competenti autorità.</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Inoltre, è riconosciuto all'Istituzione Scolastica il diritto di recedere anticipatamente dal rapporto, senza preavviso, qualora l’Esperto non presti la propria attività conformemente agli indirizzi impartiti e/o non svolga la prestazione nelle modalità pattuite, liquidando il collaboratore stesso in relazione allo stato di avanzamento della prestazione. </w:t>
      </w:r>
    </w:p>
    <w:p w:rsidR="00000000" w:rsidDel="00000000" w:rsidP="00000000" w:rsidRDefault="00000000" w:rsidRPr="00000000" w14:paraId="0000008A">
      <w:pPr>
        <w:pStyle w:val="Heading3"/>
        <w:spacing w:after="0" w:before="0" w:lineRule="auto"/>
        <w:jc w:val="center"/>
        <w:rPr>
          <w:highlight w:val="white"/>
        </w:rPr>
      </w:pPr>
      <w:r w:rsidDel="00000000" w:rsidR="00000000" w:rsidRPr="00000000">
        <w:rPr>
          <w:highlight w:val="white"/>
          <w:rtl w:val="0"/>
        </w:rPr>
        <w:t xml:space="preserve">ART. 4 - RINUNCIA E SURROGA NELL’INCARICO</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In caso di rinuncia alla nomina da parte del Docente selezionato, da presentarsi entro </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7</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giorni dalla comunicazione di avvenuta selezione, l’Istituto Scolastico procederà alla surroga nell’incarico secondo le modalità indicate nell’articolo 4 dell’Avviso di selezione in oggetto.</w:t>
      </w:r>
      <w:r w:rsidDel="00000000" w:rsidR="00000000" w:rsidRPr="00000000">
        <w:rPr>
          <w:rtl w:val="0"/>
        </w:rPr>
      </w:r>
    </w:p>
    <w:p w:rsidR="00000000" w:rsidDel="00000000" w:rsidP="00000000" w:rsidRDefault="00000000" w:rsidRPr="00000000" w14:paraId="0000008C">
      <w:pPr>
        <w:pStyle w:val="Heading3"/>
        <w:spacing w:after="0" w:before="0" w:lineRule="auto"/>
        <w:jc w:val="center"/>
        <w:rPr>
          <w:highlight w:val="white"/>
        </w:rPr>
      </w:pPr>
      <w:r w:rsidDel="00000000" w:rsidR="00000000" w:rsidRPr="00000000">
        <w:rPr>
          <w:highlight w:val="white"/>
          <w:rtl w:val="0"/>
        </w:rPr>
        <w:t xml:space="preserve">ART. 5 - INCOMPATIBILITA’</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Docente incaricato dichiara di essere a conoscenza degli artt. 75 e 76 del D.P.R. 28/12/2000 n. 445 e successive modificazioni inerenti alla perdita di benefici e delle sanzioni previste per le dichiarazioni mendaci dichiara di non trovarsi in nessuna delle situazioni di incompatibilità previste dalla normativa nazionale ed europea.</w:t>
      </w:r>
    </w:p>
    <w:p w:rsidR="00000000" w:rsidDel="00000000" w:rsidP="00000000" w:rsidRDefault="00000000" w:rsidRPr="00000000" w14:paraId="0000008E">
      <w:pPr>
        <w:pStyle w:val="Heading3"/>
        <w:spacing w:after="0" w:before="0" w:lineRule="auto"/>
        <w:jc w:val="center"/>
        <w:rPr>
          <w:highlight w:val="white"/>
        </w:rPr>
      </w:pPr>
      <w:r w:rsidDel="00000000" w:rsidR="00000000" w:rsidRPr="00000000">
        <w:rPr>
          <w:highlight w:val="white"/>
          <w:rtl w:val="0"/>
        </w:rPr>
        <w:t xml:space="preserve">ART. 6 - INFORMATIVA TRATTAMENTO DATI PERSONALI</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Con riferimento al Regolamento Europeo 679/2016 e al D.Lgs. n. 196 del 30.06.03 (così come modificato dal D.Lgs. n. 101 del 10 agosto 2018, contenente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Disposizioni per l'adeguamento della normativa nazionale alle disposizioni del regolamento (UE) 2016/679</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si precisa quanto segue:</w:t>
      </w:r>
      <w:r w:rsidDel="00000000" w:rsidR="00000000" w:rsidRPr="00000000">
        <w:rPr>
          <w:rtl w:val="0"/>
        </w:rPr>
      </w:r>
    </w:p>
    <w:p w:rsidR="00000000" w:rsidDel="00000000" w:rsidP="00000000" w:rsidRDefault="00000000" w:rsidRPr="00000000" w14:paraId="0000009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soggetto attivo della raccolta e del trattamento dei dati richiesti, anche particolari in quanto a carattere giudiziario, è l’Istituto, nella persona del Dirigente scolastico;</w:t>
      </w:r>
    </w:p>
    <w:p w:rsidR="00000000" w:rsidDel="00000000" w:rsidP="00000000" w:rsidRDefault="00000000" w:rsidRPr="00000000" w14:paraId="0000009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le finalità cui sono destinati i dati forniti dai partecipanti alla presente procedura e le modalità del loro trattamento si riferiscono esclusivamente al procedimento instaurato con il presente avviso;</w:t>
      </w:r>
    </w:p>
    <w:p w:rsidR="00000000" w:rsidDel="00000000" w:rsidP="00000000" w:rsidRDefault="00000000" w:rsidRPr="00000000" w14:paraId="0000009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 dati richiesti verranno trattati nell’assoluto rispetto delle disposizioni vigenti in tema di Privacy;</w:t>
      </w:r>
    </w:p>
    <w:p w:rsidR="00000000" w:rsidDel="00000000" w:rsidP="00000000" w:rsidRDefault="00000000" w:rsidRPr="00000000" w14:paraId="0000009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l'Ente potrà comunicare i dati raccolti al proprio personale interno coinvolto nel procedimento ed ad ogni altro soggetto che abbia interesse ai sensi della L. n. 241/90;</w:t>
      </w:r>
    </w:p>
    <w:p w:rsidR="00000000" w:rsidDel="00000000" w:rsidP="00000000" w:rsidRDefault="00000000" w:rsidRPr="00000000" w14:paraId="0000009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l’informativa estesa sul trattamento dei dati è disponibile sul sito web dell’Istituzione Scolastica: </w:t>
      </w:r>
      <w:bookmarkStart w:colFirst="0" w:colLast="0" w:name="bookmark=id.4hr1b5p" w:id="164"/>
      <w:bookmarkEnd w:id="164"/>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https://iceral.edu.it/</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presente nomina sarà pubblicata sul sito web dell’Istituzione Scolastica sitoscuola.edu.it per la massima diffusione, nelle sezioni Albo online, nonché nell’apposita sezione all’uopo dedicata.</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presente nomina vale quale autorizzazione all’espletamento dell’incarico.</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Firma per accettazione dell'incaricato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_____________________________________</w:t>
      </w:r>
      <w:r w:rsidDel="00000000" w:rsidR="00000000" w:rsidRPr="00000000">
        <w:rPr>
          <w:rtl w:val="0"/>
        </w:rPr>
      </w:r>
    </w:p>
    <w:bookmarkStart w:colFirst="0" w:colLast="0" w:name="bookmark=id.2wwbldi" w:id="165"/>
    <w:bookmarkEnd w:id="165"/>
    <w:bookmarkStart w:colFirst="0" w:colLast="0" w:name="bookmark=id.1c1lvlb" w:id="166"/>
    <w:bookmarkEnd w:id="166"/>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br w:type="textWrapping"/>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Il Dirigente Scolastico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r>
      <w:bookmarkStart w:colFirst="0" w:colLast="0" w:name="bookmark=id.3w19e94" w:id="167"/>
      <w:bookmarkEnd w:id="167"/>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Dott.ssa Elisabetta Libralato</w:t>
      </w: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eration Serif" w:cs="Liberation Serif" w:eastAsia="Liberation Serif" w:hAnsi="Liberation Serif"/>
          <w:b w:val="0"/>
          <w:i w:val="0"/>
          <w:smallCaps w:val="0"/>
          <w:strike w:val="0"/>
          <w:color w:val="000000"/>
          <w:sz w:val="16"/>
          <w:szCs w:val="16"/>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16"/>
          <w:szCs w:val="16"/>
          <w:highlight w:val="white"/>
          <w:u w:val="none"/>
          <w:vertAlign w:val="baseline"/>
          <w:rtl w:val="0"/>
        </w:rPr>
        <w:t xml:space="preserve">Documento informatico firmato digitalmente ai sensi del D.Lgs. 82/2005,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16"/>
          <w:szCs w:val="16"/>
          <w:highlight w:val="white"/>
          <w:u w:val="none"/>
          <w:vertAlign w:val="baseline"/>
          <w:rtl w:val="0"/>
        </w:rPr>
        <w:t xml:space="preserve">il quale sostituisce il documento cartaceo e la firma autografa.</w:t>
      </w:r>
      <w:r w:rsidDel="00000000" w:rsidR="00000000" w:rsidRPr="00000000">
        <w:rPr>
          <w:rtl w:val="0"/>
        </w:rPr>
      </w:r>
    </w:p>
    <w:sectPr>
      <w:pgSz w:h="16838" w:w="11906" w:orient="portrait"/>
      <w:pgMar w:bottom="567" w:top="567" w:left="1134" w:right="567"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Noto Sans Symbols">
    <w:embedRegular w:fontKey="{00000000-0000-0000-0000-000000000000}" r:id="rId1" w:subsetted="0"/>
    <w:embedBold w:fontKey="{00000000-0000-0000-0000-000000000000}" r:id="rId2" w:subsetted="0"/>
  </w:font>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07" w:hanging="282.99999999999994"/>
      </w:pPr>
      <w:rPr>
        <w:rFonts w:ascii="Noto Sans Symbols" w:cs="Noto Sans Symbols" w:eastAsia="Noto Sans Symbols" w:hAnsi="Noto Sans Symbols"/>
      </w:rPr>
    </w:lvl>
    <w:lvl w:ilvl="1">
      <w:start w:val="1"/>
      <w:numFmt w:val="bullet"/>
      <w:lvlText w:val="●"/>
      <w:lvlJc w:val="left"/>
      <w:pPr>
        <w:ind w:left="1414" w:hanging="283"/>
      </w:pPr>
      <w:rPr>
        <w:rFonts w:ascii="Noto Sans Symbols" w:cs="Noto Sans Symbols" w:eastAsia="Noto Sans Symbols" w:hAnsi="Noto Sans Symbols"/>
      </w:rPr>
    </w:lvl>
    <w:lvl w:ilvl="2">
      <w:start w:val="1"/>
      <w:numFmt w:val="bullet"/>
      <w:lvlText w:val="●"/>
      <w:lvlJc w:val="left"/>
      <w:pPr>
        <w:ind w:left="2121" w:hanging="283.0000000000002"/>
      </w:pPr>
      <w:rPr>
        <w:rFonts w:ascii="Noto Sans Symbols" w:cs="Noto Sans Symbols" w:eastAsia="Noto Sans Symbols" w:hAnsi="Noto Sans Symbols"/>
      </w:rPr>
    </w:lvl>
    <w:lvl w:ilvl="3">
      <w:start w:val="1"/>
      <w:numFmt w:val="bullet"/>
      <w:lvlText w:val="●"/>
      <w:lvlJc w:val="left"/>
      <w:pPr>
        <w:ind w:left="2828" w:hanging="283"/>
      </w:pPr>
      <w:rPr>
        <w:rFonts w:ascii="Noto Sans Symbols" w:cs="Noto Sans Symbols" w:eastAsia="Noto Sans Symbols" w:hAnsi="Noto Sans Symbols"/>
      </w:rPr>
    </w:lvl>
    <w:lvl w:ilvl="4">
      <w:start w:val="1"/>
      <w:numFmt w:val="bullet"/>
      <w:lvlText w:val="●"/>
      <w:lvlJc w:val="left"/>
      <w:pPr>
        <w:ind w:left="3535" w:hanging="283"/>
      </w:pPr>
      <w:rPr>
        <w:rFonts w:ascii="Noto Sans Symbols" w:cs="Noto Sans Symbols" w:eastAsia="Noto Sans Symbols" w:hAnsi="Noto Sans Symbols"/>
      </w:rPr>
    </w:lvl>
    <w:lvl w:ilvl="5">
      <w:start w:val="1"/>
      <w:numFmt w:val="bullet"/>
      <w:lvlText w:val="●"/>
      <w:lvlJc w:val="left"/>
      <w:pPr>
        <w:ind w:left="4242" w:hanging="283"/>
      </w:pPr>
      <w:rPr>
        <w:rFonts w:ascii="Noto Sans Symbols" w:cs="Noto Sans Symbols" w:eastAsia="Noto Sans Symbols" w:hAnsi="Noto Sans Symbols"/>
      </w:rPr>
    </w:lvl>
    <w:lvl w:ilvl="6">
      <w:start w:val="1"/>
      <w:numFmt w:val="bullet"/>
      <w:lvlText w:val="●"/>
      <w:lvlJc w:val="left"/>
      <w:pPr>
        <w:ind w:left="4949" w:hanging="283"/>
      </w:pPr>
      <w:rPr>
        <w:rFonts w:ascii="Noto Sans Symbols" w:cs="Noto Sans Symbols" w:eastAsia="Noto Sans Symbols" w:hAnsi="Noto Sans Symbols"/>
      </w:rPr>
    </w:lvl>
    <w:lvl w:ilvl="7">
      <w:start w:val="1"/>
      <w:numFmt w:val="bullet"/>
      <w:lvlText w:val="●"/>
      <w:lvlJc w:val="left"/>
      <w:pPr>
        <w:ind w:left="5656" w:hanging="282.9999999999991"/>
      </w:pPr>
      <w:rPr>
        <w:rFonts w:ascii="Noto Sans Symbols" w:cs="Noto Sans Symbols" w:eastAsia="Noto Sans Symbols" w:hAnsi="Noto Sans Symbols"/>
      </w:rPr>
    </w:lvl>
    <w:lvl w:ilvl="8">
      <w:start w:val="1"/>
      <w:numFmt w:val="bullet"/>
      <w:lvlText w:val="●"/>
      <w:lvlJc w:val="left"/>
      <w:pPr>
        <w:ind w:left="6363" w:hanging="283"/>
      </w:pPr>
      <w:rPr>
        <w:rFonts w:ascii="Noto Sans Symbols" w:cs="Noto Sans Symbols" w:eastAsia="Noto Sans Symbols" w:hAnsi="Noto Sans Symbols"/>
      </w:rPr>
    </w:lvl>
  </w:abstractNum>
  <w:abstractNum w:abstractNumId="2">
    <w:lvl w:ilvl="0">
      <w:start w:val="1"/>
      <w:numFmt w:val="bullet"/>
      <w:lvlText w:val="●"/>
      <w:lvlJc w:val="left"/>
      <w:pPr>
        <w:ind w:left="707" w:hanging="282.99999999999994"/>
      </w:pPr>
      <w:rPr>
        <w:rFonts w:ascii="Noto Sans Symbols" w:cs="Noto Sans Symbols" w:eastAsia="Noto Sans Symbols" w:hAnsi="Noto Sans Symbols"/>
      </w:rPr>
    </w:lvl>
    <w:lvl w:ilvl="1">
      <w:start w:val="1"/>
      <w:numFmt w:val="bullet"/>
      <w:lvlText w:val="●"/>
      <w:lvlJc w:val="left"/>
      <w:pPr>
        <w:ind w:left="1414" w:hanging="283"/>
      </w:pPr>
      <w:rPr>
        <w:rFonts w:ascii="Noto Sans Symbols" w:cs="Noto Sans Symbols" w:eastAsia="Noto Sans Symbols" w:hAnsi="Noto Sans Symbols"/>
      </w:rPr>
    </w:lvl>
    <w:lvl w:ilvl="2">
      <w:start w:val="1"/>
      <w:numFmt w:val="bullet"/>
      <w:lvlText w:val="●"/>
      <w:lvlJc w:val="left"/>
      <w:pPr>
        <w:ind w:left="2121" w:hanging="283.0000000000002"/>
      </w:pPr>
      <w:rPr>
        <w:rFonts w:ascii="Noto Sans Symbols" w:cs="Noto Sans Symbols" w:eastAsia="Noto Sans Symbols" w:hAnsi="Noto Sans Symbols"/>
      </w:rPr>
    </w:lvl>
    <w:lvl w:ilvl="3">
      <w:start w:val="1"/>
      <w:numFmt w:val="bullet"/>
      <w:lvlText w:val="●"/>
      <w:lvlJc w:val="left"/>
      <w:pPr>
        <w:ind w:left="2828" w:hanging="283"/>
      </w:pPr>
      <w:rPr>
        <w:rFonts w:ascii="Noto Sans Symbols" w:cs="Noto Sans Symbols" w:eastAsia="Noto Sans Symbols" w:hAnsi="Noto Sans Symbols"/>
      </w:rPr>
    </w:lvl>
    <w:lvl w:ilvl="4">
      <w:start w:val="1"/>
      <w:numFmt w:val="bullet"/>
      <w:lvlText w:val="●"/>
      <w:lvlJc w:val="left"/>
      <w:pPr>
        <w:ind w:left="3535" w:hanging="283"/>
      </w:pPr>
      <w:rPr>
        <w:rFonts w:ascii="Noto Sans Symbols" w:cs="Noto Sans Symbols" w:eastAsia="Noto Sans Symbols" w:hAnsi="Noto Sans Symbols"/>
      </w:rPr>
    </w:lvl>
    <w:lvl w:ilvl="5">
      <w:start w:val="1"/>
      <w:numFmt w:val="bullet"/>
      <w:lvlText w:val="●"/>
      <w:lvlJc w:val="left"/>
      <w:pPr>
        <w:ind w:left="4242" w:hanging="283"/>
      </w:pPr>
      <w:rPr>
        <w:rFonts w:ascii="Noto Sans Symbols" w:cs="Noto Sans Symbols" w:eastAsia="Noto Sans Symbols" w:hAnsi="Noto Sans Symbols"/>
      </w:rPr>
    </w:lvl>
    <w:lvl w:ilvl="6">
      <w:start w:val="1"/>
      <w:numFmt w:val="bullet"/>
      <w:lvlText w:val="●"/>
      <w:lvlJc w:val="left"/>
      <w:pPr>
        <w:ind w:left="4949" w:hanging="283"/>
      </w:pPr>
      <w:rPr>
        <w:rFonts w:ascii="Noto Sans Symbols" w:cs="Noto Sans Symbols" w:eastAsia="Noto Sans Symbols" w:hAnsi="Noto Sans Symbols"/>
      </w:rPr>
    </w:lvl>
    <w:lvl w:ilvl="7">
      <w:start w:val="1"/>
      <w:numFmt w:val="bullet"/>
      <w:lvlText w:val="●"/>
      <w:lvlJc w:val="left"/>
      <w:pPr>
        <w:ind w:left="5656" w:hanging="282.9999999999991"/>
      </w:pPr>
      <w:rPr>
        <w:rFonts w:ascii="Noto Sans Symbols" w:cs="Noto Sans Symbols" w:eastAsia="Noto Sans Symbols" w:hAnsi="Noto Sans Symbols"/>
      </w:rPr>
    </w:lvl>
    <w:lvl w:ilvl="8">
      <w:start w:val="1"/>
      <w:numFmt w:val="bullet"/>
      <w:lvlText w:val="●"/>
      <w:lvlJc w:val="left"/>
      <w:pPr>
        <w:ind w:left="6363" w:hanging="283"/>
      </w:pPr>
      <w:rPr>
        <w:rFonts w:ascii="Noto Sans Symbols" w:cs="Noto Sans Symbols" w:eastAsia="Noto Sans Symbols" w:hAnsi="Noto Sans Symbols"/>
      </w:rPr>
    </w:lvl>
  </w:abstractNum>
  <w:abstractNum w:abstractNumId="3">
    <w:lvl w:ilvl="0">
      <w:start w:val="1"/>
      <w:numFmt w:val="bullet"/>
      <w:lvlText w:val="●"/>
      <w:lvlJc w:val="left"/>
      <w:pPr>
        <w:ind w:left="707" w:hanging="282.99999999999994"/>
      </w:pPr>
      <w:rPr>
        <w:rFonts w:ascii="Noto Sans Symbols" w:cs="Noto Sans Symbols" w:eastAsia="Noto Sans Symbols" w:hAnsi="Noto Sans Symbols"/>
      </w:rPr>
    </w:lvl>
    <w:lvl w:ilvl="1">
      <w:start w:val="1"/>
      <w:numFmt w:val="bullet"/>
      <w:lvlText w:val="●"/>
      <w:lvlJc w:val="left"/>
      <w:pPr>
        <w:ind w:left="1414" w:hanging="283"/>
      </w:pPr>
      <w:rPr>
        <w:rFonts w:ascii="Noto Sans Symbols" w:cs="Noto Sans Symbols" w:eastAsia="Noto Sans Symbols" w:hAnsi="Noto Sans Symbols"/>
      </w:rPr>
    </w:lvl>
    <w:lvl w:ilvl="2">
      <w:start w:val="1"/>
      <w:numFmt w:val="bullet"/>
      <w:lvlText w:val="●"/>
      <w:lvlJc w:val="left"/>
      <w:pPr>
        <w:ind w:left="2121" w:hanging="283.0000000000002"/>
      </w:pPr>
      <w:rPr>
        <w:rFonts w:ascii="Noto Sans Symbols" w:cs="Noto Sans Symbols" w:eastAsia="Noto Sans Symbols" w:hAnsi="Noto Sans Symbols"/>
      </w:rPr>
    </w:lvl>
    <w:lvl w:ilvl="3">
      <w:start w:val="1"/>
      <w:numFmt w:val="bullet"/>
      <w:lvlText w:val="●"/>
      <w:lvlJc w:val="left"/>
      <w:pPr>
        <w:ind w:left="2828" w:hanging="283"/>
      </w:pPr>
      <w:rPr>
        <w:rFonts w:ascii="Noto Sans Symbols" w:cs="Noto Sans Symbols" w:eastAsia="Noto Sans Symbols" w:hAnsi="Noto Sans Symbols"/>
      </w:rPr>
    </w:lvl>
    <w:lvl w:ilvl="4">
      <w:start w:val="1"/>
      <w:numFmt w:val="bullet"/>
      <w:lvlText w:val="●"/>
      <w:lvlJc w:val="left"/>
      <w:pPr>
        <w:ind w:left="3535" w:hanging="283"/>
      </w:pPr>
      <w:rPr>
        <w:rFonts w:ascii="Noto Sans Symbols" w:cs="Noto Sans Symbols" w:eastAsia="Noto Sans Symbols" w:hAnsi="Noto Sans Symbols"/>
      </w:rPr>
    </w:lvl>
    <w:lvl w:ilvl="5">
      <w:start w:val="1"/>
      <w:numFmt w:val="bullet"/>
      <w:lvlText w:val="●"/>
      <w:lvlJc w:val="left"/>
      <w:pPr>
        <w:ind w:left="4242" w:hanging="283"/>
      </w:pPr>
      <w:rPr>
        <w:rFonts w:ascii="Noto Sans Symbols" w:cs="Noto Sans Symbols" w:eastAsia="Noto Sans Symbols" w:hAnsi="Noto Sans Symbols"/>
      </w:rPr>
    </w:lvl>
    <w:lvl w:ilvl="6">
      <w:start w:val="1"/>
      <w:numFmt w:val="bullet"/>
      <w:lvlText w:val="●"/>
      <w:lvlJc w:val="left"/>
      <w:pPr>
        <w:ind w:left="4949" w:hanging="283"/>
      </w:pPr>
      <w:rPr>
        <w:rFonts w:ascii="Noto Sans Symbols" w:cs="Noto Sans Symbols" w:eastAsia="Noto Sans Symbols" w:hAnsi="Noto Sans Symbols"/>
      </w:rPr>
    </w:lvl>
    <w:lvl w:ilvl="7">
      <w:start w:val="1"/>
      <w:numFmt w:val="bullet"/>
      <w:lvlText w:val="●"/>
      <w:lvlJc w:val="left"/>
      <w:pPr>
        <w:ind w:left="5656" w:hanging="282.9999999999991"/>
      </w:pPr>
      <w:rPr>
        <w:rFonts w:ascii="Noto Sans Symbols" w:cs="Noto Sans Symbols" w:eastAsia="Noto Sans Symbols" w:hAnsi="Noto Sans Symbols"/>
      </w:rPr>
    </w:lvl>
    <w:lvl w:ilvl="8">
      <w:start w:val="1"/>
      <w:numFmt w:val="bullet"/>
      <w:lvlText w:val="●"/>
      <w:lvlJc w:val="left"/>
      <w:pPr>
        <w:ind w:left="6363" w:hanging="283"/>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spacing w:after="120" w:before="140" w:lineRule="auto"/>
    </w:pPr>
    <w:rPr>
      <w:rFonts w:ascii="Liberation Serif" w:cs="Liberation Serif" w:eastAsia="Liberation Serif" w:hAnsi="Liberation Serif"/>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qFormat w:val="1"/>
    <w:pPr>
      <w:widowControl w:val="0"/>
      <w:bidi w:val="0"/>
    </w:pPr>
    <w:rPr>
      <w:rFonts w:ascii="Liberation Serif" w:cs="Noto Sans Devanagari" w:eastAsia="DejaVu Sans" w:hAnsi="Liberation Serif"/>
      <w:color w:val="auto"/>
      <w:sz w:val="24"/>
      <w:szCs w:val="24"/>
      <w:lang w:bidi="hi-IN" w:eastAsia="zh-CN" w:val="en-US"/>
    </w:rPr>
  </w:style>
  <w:style w:type="paragraph" w:styleId="Heading3">
    <w:name w:val="Heading 3"/>
    <w:basedOn w:val="Heading"/>
    <w:next w:val="TextBody"/>
    <w:qFormat w:val="1"/>
    <w:pPr>
      <w:spacing w:after="120" w:before="140"/>
      <w:outlineLvl w:val="2"/>
    </w:pPr>
    <w:rPr>
      <w:rFonts w:ascii="Liberation Serif" w:cs="Noto Sans Devanagari" w:eastAsia="DejaVu Sans" w:hAnsi="Liberation Serif"/>
      <w:b w:val="1"/>
      <w:bCs w:val="1"/>
      <w:sz w:val="28"/>
      <w:szCs w:val="28"/>
    </w:rPr>
  </w:style>
  <w:style w:type="character" w:styleId="Emphasis">
    <w:name w:val="Emphasis"/>
    <w:qFormat w:val="1"/>
    <w:rPr>
      <w:i w:val="1"/>
      <w:iCs w:val="1"/>
    </w:rPr>
  </w:style>
  <w:style w:type="character" w:styleId="StrongEmphasis">
    <w:name w:val="Strong Emphasis"/>
    <w:qFormat w:val="1"/>
    <w:rPr>
      <w:b w:val="1"/>
      <w:bCs w:val="1"/>
    </w:rPr>
  </w:style>
  <w:style w:type="character" w:styleId="InternetLink">
    <w:name w:val="Hyperlink"/>
    <w:rPr>
      <w:color w:val="000080"/>
      <w:u w:val="single"/>
      <w:lang w:bidi="zxx" w:eastAsia="zxx" w:val="zxx"/>
    </w:rPr>
  </w:style>
  <w:style w:type="character" w:styleId="Bullets">
    <w:name w:val="Bullets"/>
    <w:qFormat w:val="1"/>
    <w:rPr>
      <w:rFonts w:ascii="OpenSymbol" w:cs="OpenSymbol" w:eastAsia="OpenSymbol" w:hAnsi="OpenSymbol"/>
    </w:rPr>
  </w:style>
  <w:style w:type="paragraph" w:styleId="Heading">
    <w:name w:val="Heading"/>
    <w:basedOn w:val="Normal"/>
    <w:next w:val="TextBody"/>
    <w:qFormat w:val="1"/>
    <w:pPr>
      <w:keepNext w:val="1"/>
      <w:spacing w:after="120" w:before="240"/>
    </w:pPr>
    <w:rPr>
      <w:rFonts w:ascii="Liberation Sans" w:cs="Noto Sans Devanagari" w:eastAsia="DejaVu Sans"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Noto Sans Devanagari"/>
    </w:rPr>
  </w:style>
  <w:style w:type="paragraph" w:styleId="Caption">
    <w:name w:val="Caption"/>
    <w:basedOn w:val="Normal"/>
    <w:qFormat w:val="1"/>
    <w:pPr>
      <w:suppressLineNumbers w:val="1"/>
      <w:spacing w:after="120" w:before="120"/>
    </w:pPr>
    <w:rPr>
      <w:rFonts w:cs="Noto Sans Devanagari"/>
      <w:i w:val="1"/>
      <w:iCs w:val="1"/>
      <w:sz w:val="24"/>
      <w:szCs w:val="24"/>
    </w:rPr>
  </w:style>
  <w:style w:type="paragraph" w:styleId="Index">
    <w:name w:val="Index"/>
    <w:basedOn w:val="Normal"/>
    <w:qFormat w:val="1"/>
    <w:pPr>
      <w:suppressLineNumbers w:val="1"/>
    </w:pPr>
    <w:rPr>
      <w:rFonts w:cs="Noto Sans Devanagari"/>
      <w:lang w:bidi="zxx" w:eastAsia="zxx" w:val="zxx"/>
    </w:rPr>
  </w:style>
  <w:style w:type="paragraph" w:styleId="TableContents">
    <w:name w:val="Table Contents"/>
    <w:basedOn w:val="Normal"/>
    <w:qFormat w:val="1"/>
    <w:pPr>
      <w:widowControl w:val="0"/>
      <w:suppressLineNumbers w:val="1"/>
    </w:pPr>
    <w:rPr/>
  </w:style>
  <w:style w:type="paragraph" w:styleId="TableHeading">
    <w:name w:val="Table Heading"/>
    <w:basedOn w:val="TableContents"/>
    <w:qFormat w:val="1"/>
    <w:pPr>
      <w:suppressLineNumbers w:val="1"/>
      <w:jc w:val="center"/>
    </w:pPr>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28.0" w:type="dxa"/>
        <w:left w:w="28.0" w:type="dxa"/>
        <w:bottom w:w="28.0" w:type="dxa"/>
        <w:right w:w="2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ormattiva.it/uri-res/N2Ls?urn:nir:stato:legge:2003-01-16;3~art11"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gazzettaufficiale.it/eli/gu/2022/12/29/303/so/43/sg/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r4ZgtGhGY8gK8bEcdMcVo35g0A==">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